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BCC2282" w:rsidR="003749D2" w:rsidRPr="00152A7C" w:rsidRDefault="00C93352" w:rsidP="003749D2">
      <w:pPr>
        <w:contextualSpacing/>
        <w:jc w:val="center"/>
      </w:pPr>
      <w:r w:rsidRPr="00C93352">
        <w:t>Б1.В.21 «ФИНАНСОВЫЙ КОНТРОЛЬ»</w:t>
      </w:r>
    </w:p>
    <w:p w14:paraId="11C1B94E" w14:textId="77777777" w:rsidR="003749D2" w:rsidRDefault="003749D2" w:rsidP="003749D2">
      <w:pPr>
        <w:contextualSpacing/>
      </w:pPr>
    </w:p>
    <w:p w14:paraId="4FEEA0E7" w14:textId="620EE050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0A4149" w:rsidRPr="000A4149">
        <w:rPr>
          <w:i/>
        </w:rPr>
        <w:t>38.03.02 «Менеджмент»</w:t>
      </w:r>
    </w:p>
    <w:p w14:paraId="3B801C3E" w14:textId="77777777" w:rsidR="000A4149" w:rsidRDefault="003749D2" w:rsidP="000A414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A4149">
        <w:rPr>
          <w:i/>
        </w:rPr>
        <w:t xml:space="preserve">бакалавр </w:t>
      </w:r>
    </w:p>
    <w:p w14:paraId="1DD98103" w14:textId="77777777" w:rsidR="000A4149" w:rsidRDefault="003749D2" w:rsidP="003749D2">
      <w:pPr>
        <w:contextualSpacing/>
        <w:jc w:val="both"/>
        <w:rPr>
          <w:sz w:val="28"/>
          <w:szCs w:val="28"/>
        </w:rPr>
      </w:pPr>
      <w:r w:rsidRPr="00152A7C">
        <w:t>Профиль</w:t>
      </w:r>
      <w:r w:rsidR="00081F98" w:rsidRPr="000A1556">
        <w:t>/специализаци</w:t>
      </w:r>
      <w:r w:rsidR="00081F98">
        <w:t>я</w:t>
      </w:r>
      <w:r w:rsidR="00081F98" w:rsidRPr="000A1556">
        <w:t>/магистерск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Pr="00152A7C">
        <w:t xml:space="preserve"> –</w:t>
      </w:r>
      <w:r w:rsidR="00081F98">
        <w:t xml:space="preserve"> </w:t>
      </w:r>
      <w:r w:rsidR="000A4149" w:rsidRPr="000A1556">
        <w:t>«</w:t>
      </w:r>
      <w:r w:rsidR="000A4149" w:rsidRPr="00B65CF7">
        <w:rPr>
          <w:i/>
        </w:rPr>
        <w:t>Логистика</w:t>
      </w:r>
      <w:r w:rsidR="000A4149" w:rsidRPr="000A1556">
        <w:rPr>
          <w:sz w:val="28"/>
          <w:szCs w:val="28"/>
        </w:rPr>
        <w:t xml:space="preserve">» </w:t>
      </w:r>
    </w:p>
    <w:p w14:paraId="64DA8D8F" w14:textId="4CA9817D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E8EC58C" w14:textId="77777777" w:rsidR="00C93352" w:rsidRDefault="00C93352" w:rsidP="003749D2">
      <w:pPr>
        <w:contextualSpacing/>
        <w:jc w:val="both"/>
      </w:pPr>
      <w:r>
        <w:t xml:space="preserve">Дисциплина относится к </w:t>
      </w:r>
      <w:r w:rsidRPr="005A5296">
        <w:t>части, формируемой участниками образовательных отношений блока 1 «Дисциплины (модули)».</w:t>
      </w:r>
    </w:p>
    <w:p w14:paraId="4DFC6776" w14:textId="11F4FCB1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762C128" w14:textId="77777777" w:rsidR="00091ED3" w:rsidRPr="000A1556" w:rsidRDefault="00091ED3" w:rsidP="00091ED3">
      <w:pPr>
        <w:ind w:firstLine="851"/>
        <w:jc w:val="both"/>
        <w:rPr>
          <w:i/>
        </w:rPr>
      </w:pPr>
      <w:r w:rsidRPr="000A1556">
        <w:t>Целью изучения дисциплины является</w:t>
      </w:r>
      <w:r>
        <w:t xml:space="preserve"> п</w:t>
      </w:r>
      <w:r w:rsidRPr="002A7367">
        <w:t xml:space="preserve">риобретение будущими бакалаврами </w:t>
      </w:r>
      <w:r>
        <w:t>необходимых знаний, умений и навыков в области</w:t>
      </w:r>
      <w:r w:rsidRPr="001C740C">
        <w:t xml:space="preserve"> </w:t>
      </w:r>
      <w:r>
        <w:t>ф</w:t>
      </w:r>
      <w:r w:rsidRPr="00DC61B2">
        <w:t>инансов</w:t>
      </w:r>
      <w:r>
        <w:t xml:space="preserve">ого контроля </w:t>
      </w:r>
      <w:r w:rsidRPr="00DC61B2">
        <w:t>договорной документации</w:t>
      </w:r>
      <w:r>
        <w:t xml:space="preserve">. </w:t>
      </w:r>
    </w:p>
    <w:p w14:paraId="1298E08B" w14:textId="77777777" w:rsidR="00091ED3" w:rsidRPr="000A1556" w:rsidRDefault="00091ED3" w:rsidP="00091ED3">
      <w:pPr>
        <w:ind w:firstLine="851"/>
      </w:pPr>
      <w:r w:rsidRPr="000A1556">
        <w:t>Для достижения цели дисциплины решаются следующие задачи:</w:t>
      </w:r>
    </w:p>
    <w:p w14:paraId="0E6D6C8F" w14:textId="77777777" w:rsidR="00714321" w:rsidRPr="00714321" w:rsidRDefault="00714321" w:rsidP="00714321">
      <w:pPr>
        <w:pStyle w:val="aff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714321">
        <w:rPr>
          <w:rFonts w:ascii="Times New Roman" w:hAnsi="Times New Roman"/>
          <w:sz w:val="24"/>
          <w:szCs w:val="24"/>
        </w:rPr>
        <w:t>получение знаний коммерческой политики компании, нормативные документы организаций-перевозчиков и структуру договорной документации;</w:t>
      </w:r>
    </w:p>
    <w:p w14:paraId="16EA5F73" w14:textId="77777777" w:rsidR="00714321" w:rsidRPr="00714321" w:rsidRDefault="00714321" w:rsidP="00714321">
      <w:pPr>
        <w:pStyle w:val="aff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714321">
        <w:rPr>
          <w:rFonts w:ascii="Times New Roman" w:hAnsi="Times New Roman"/>
          <w:sz w:val="24"/>
          <w:szCs w:val="24"/>
        </w:rPr>
        <w:t xml:space="preserve">умение анализировать информацию и оперативно формировать отчеты; </w:t>
      </w:r>
    </w:p>
    <w:p w14:paraId="385C8CC7" w14:textId="77777777" w:rsidR="00714321" w:rsidRPr="00714321" w:rsidRDefault="00714321" w:rsidP="00714321">
      <w:pPr>
        <w:pStyle w:val="aff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714321">
        <w:rPr>
          <w:rFonts w:ascii="Times New Roman" w:hAnsi="Times New Roman"/>
          <w:sz w:val="24"/>
          <w:szCs w:val="24"/>
        </w:rPr>
        <w:t xml:space="preserve">владение способами и методами контроля финансовых взаимоотношений с подрядчиком;  </w:t>
      </w:r>
    </w:p>
    <w:p w14:paraId="51918B81" w14:textId="77777777" w:rsidR="00714321" w:rsidRPr="00714321" w:rsidRDefault="00714321" w:rsidP="00714321">
      <w:pPr>
        <w:pStyle w:val="aff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714321">
        <w:rPr>
          <w:rFonts w:ascii="Times New Roman" w:hAnsi="Times New Roman"/>
          <w:sz w:val="24"/>
          <w:szCs w:val="24"/>
        </w:rPr>
        <w:t xml:space="preserve">владение способами и методами отправки договора на согласование кредитному контролеру, бухгалтеру, юристу и получения их виз, получения обоснования отказа (в случае отказа от согласования договора) и сообщения об этом подрядчику; </w:t>
      </w:r>
    </w:p>
    <w:p w14:paraId="7F369E6F" w14:textId="313C9D06" w:rsidR="00C93352" w:rsidRPr="00714321" w:rsidRDefault="00714321" w:rsidP="00714321">
      <w:pPr>
        <w:pStyle w:val="aff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714321">
        <w:rPr>
          <w:rFonts w:ascii="Times New Roman" w:hAnsi="Times New Roman"/>
          <w:sz w:val="24"/>
          <w:szCs w:val="24"/>
        </w:rPr>
        <w:t>владение способами и методами контроля оплаты счетов подрядчика.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022980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925B68"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C93352"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C93352">
        <w:tc>
          <w:tcPr>
            <w:tcW w:w="4672" w:type="dxa"/>
          </w:tcPr>
          <w:p w14:paraId="03ACB51A" w14:textId="48A090F8" w:rsidR="002014A6" w:rsidRPr="002014A6" w:rsidRDefault="00C93352" w:rsidP="002014A6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sz w:val="22"/>
                <w:szCs w:val="22"/>
              </w:rPr>
              <w:t>ПК-1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14:paraId="13AC5667" w14:textId="018E5A89" w:rsidR="002014A6" w:rsidRPr="002014A6" w:rsidRDefault="00C93352" w:rsidP="002014A6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iCs/>
                <w:sz w:val="22"/>
                <w:szCs w:val="22"/>
              </w:rPr>
              <w:t>ПК-1.2.1 Умеет анализировать информацию и оперативно формировать отчеты</w:t>
            </w:r>
          </w:p>
        </w:tc>
      </w:tr>
      <w:tr w:rsidR="00C93352" w14:paraId="2430221B" w14:textId="77777777" w:rsidTr="00C93352">
        <w:tc>
          <w:tcPr>
            <w:tcW w:w="4672" w:type="dxa"/>
            <w:vMerge w:val="restart"/>
          </w:tcPr>
          <w:p w14:paraId="7AB0F24E" w14:textId="2461C4BA" w:rsidR="00C93352" w:rsidRDefault="00C93352" w:rsidP="00C93352">
            <w:pPr>
              <w:rPr>
                <w:i/>
                <w:highlight w:val="yellow"/>
              </w:rPr>
            </w:pPr>
            <w:r w:rsidRPr="00586972"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  <w:t xml:space="preserve">ПК-2 </w:t>
            </w:r>
            <w:r w:rsidRPr="00586972">
              <w:rPr>
                <w:rFonts w:eastAsiaTheme="minorHAnsi"/>
                <w:i/>
                <w:sz w:val="22"/>
                <w:szCs w:val="22"/>
                <w:lang w:eastAsia="en-US"/>
              </w:rPr>
              <w:t>Организация работы с подрядчиками на рынке транспортных услуг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1E8BFB63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iCs/>
                <w:sz w:val="22"/>
                <w:szCs w:val="22"/>
              </w:rPr>
              <w:t xml:space="preserve">ПК-2.1.6 Знает нормативные документы организаций-перевозчиков </w:t>
            </w:r>
          </w:p>
        </w:tc>
      </w:tr>
      <w:tr w:rsidR="00C93352" w14:paraId="7F4B6B88" w14:textId="77777777" w:rsidTr="00C93352">
        <w:tc>
          <w:tcPr>
            <w:tcW w:w="4672" w:type="dxa"/>
            <w:vMerge/>
          </w:tcPr>
          <w:p w14:paraId="771D088F" w14:textId="77777777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540E" w14:textId="7B37C088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iCs/>
                <w:sz w:val="22"/>
                <w:szCs w:val="22"/>
              </w:rPr>
              <w:t xml:space="preserve">ПК-2.1.10 Знает структуру договорной документации </w:t>
            </w:r>
          </w:p>
        </w:tc>
      </w:tr>
      <w:tr w:rsidR="00C93352" w14:paraId="2D86011E" w14:textId="77777777" w:rsidTr="00C93352">
        <w:tc>
          <w:tcPr>
            <w:tcW w:w="4672" w:type="dxa"/>
            <w:vMerge/>
          </w:tcPr>
          <w:p w14:paraId="739CD726" w14:textId="77777777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4E1" w14:textId="24E20AC2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iCs/>
                <w:sz w:val="22"/>
                <w:szCs w:val="22"/>
              </w:rPr>
              <w:t>ПК-2.2.5 Умеет р</w:t>
            </w:r>
            <w:r w:rsidRPr="00586972">
              <w:rPr>
                <w:i/>
                <w:sz w:val="22"/>
                <w:szCs w:val="22"/>
              </w:rPr>
              <w:t xml:space="preserve">аботать на персональном компьютере </w:t>
            </w:r>
            <w:r w:rsidRPr="00586972">
              <w:rPr>
                <w:i/>
                <w:w w:val="95"/>
                <w:sz w:val="22"/>
                <w:szCs w:val="22"/>
              </w:rPr>
              <w:t xml:space="preserve">с </w:t>
            </w:r>
            <w:r w:rsidRPr="00586972">
              <w:rPr>
                <w:i/>
                <w:sz w:val="22"/>
                <w:szCs w:val="22"/>
              </w:rPr>
              <w:t>применением</w:t>
            </w:r>
            <w:r w:rsidRPr="00586972">
              <w:rPr>
                <w:i/>
                <w:w w:val="102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необходимых программ</w:t>
            </w:r>
          </w:p>
        </w:tc>
      </w:tr>
      <w:tr w:rsidR="00C93352" w14:paraId="6EDAFE5A" w14:textId="77777777" w:rsidTr="00C93352">
        <w:tc>
          <w:tcPr>
            <w:tcW w:w="4672" w:type="dxa"/>
            <w:vMerge/>
          </w:tcPr>
          <w:p w14:paraId="368AE6B8" w14:textId="77777777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E781" w14:textId="0EC376F1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sz w:val="22"/>
                <w:szCs w:val="22"/>
              </w:rPr>
              <w:t xml:space="preserve">ПК-2.3.5 </w:t>
            </w:r>
            <w:r w:rsidRPr="00586972">
              <w:rPr>
                <w:i/>
                <w:iCs/>
                <w:sz w:val="22"/>
                <w:szCs w:val="22"/>
              </w:rPr>
              <w:t xml:space="preserve">Владеет способами и методами </w:t>
            </w:r>
            <w:r w:rsidRPr="00586972">
              <w:rPr>
                <w:i/>
                <w:sz w:val="22"/>
                <w:szCs w:val="22"/>
              </w:rPr>
              <w:t>контроля финансовых взаимоотношений с подрядчиком</w:t>
            </w:r>
          </w:p>
        </w:tc>
      </w:tr>
      <w:tr w:rsidR="00C93352" w14:paraId="5AE9DBFF" w14:textId="77777777" w:rsidTr="00C93352">
        <w:tc>
          <w:tcPr>
            <w:tcW w:w="4672" w:type="dxa"/>
            <w:vMerge/>
          </w:tcPr>
          <w:p w14:paraId="1819E1FB" w14:textId="77777777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0EDC" w14:textId="7BB6B372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sz w:val="22"/>
                <w:szCs w:val="22"/>
              </w:rPr>
              <w:t xml:space="preserve">ПК-2.3.9 </w:t>
            </w:r>
            <w:r w:rsidRPr="00586972">
              <w:rPr>
                <w:i/>
                <w:iCs/>
                <w:sz w:val="22"/>
                <w:szCs w:val="22"/>
              </w:rPr>
              <w:t xml:space="preserve">Владеет способами и методами </w:t>
            </w:r>
            <w:r w:rsidRPr="00586972">
              <w:rPr>
                <w:i/>
                <w:sz w:val="22"/>
                <w:szCs w:val="22"/>
              </w:rPr>
              <w:t>отправки договора на согласование кредитному контролеру,</w:t>
            </w:r>
            <w:r w:rsidRPr="00586972">
              <w:rPr>
                <w:i/>
                <w:w w:val="101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бухгалтеру,</w:t>
            </w:r>
            <w:r w:rsidRPr="00586972">
              <w:rPr>
                <w:i/>
                <w:spacing w:val="22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юристу</w:t>
            </w:r>
            <w:r w:rsidRPr="00586972">
              <w:rPr>
                <w:i/>
                <w:spacing w:val="21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и</w:t>
            </w:r>
            <w:r w:rsidRPr="00586972">
              <w:rPr>
                <w:i/>
                <w:spacing w:val="9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получения</w:t>
            </w:r>
            <w:r w:rsidRPr="00586972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их</w:t>
            </w:r>
            <w:r w:rsidRPr="00586972">
              <w:rPr>
                <w:i/>
                <w:spacing w:val="26"/>
                <w:sz w:val="22"/>
                <w:szCs w:val="22"/>
              </w:rPr>
              <w:t xml:space="preserve"> </w:t>
            </w:r>
            <w:r w:rsidRPr="00586972">
              <w:rPr>
                <w:i/>
                <w:sz w:val="22"/>
                <w:szCs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</w:tc>
      </w:tr>
      <w:tr w:rsidR="00C93352" w14:paraId="70F0902A" w14:textId="77777777" w:rsidTr="00C93352">
        <w:tc>
          <w:tcPr>
            <w:tcW w:w="4672" w:type="dxa"/>
            <w:vMerge/>
          </w:tcPr>
          <w:p w14:paraId="7DBAEA92" w14:textId="77777777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E50B" w14:textId="2B0F0996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sz w:val="22"/>
                <w:szCs w:val="22"/>
              </w:rPr>
              <w:t xml:space="preserve">ПК-2.3.13 </w:t>
            </w:r>
            <w:r w:rsidRPr="00586972">
              <w:rPr>
                <w:i/>
                <w:iCs/>
                <w:sz w:val="22"/>
                <w:szCs w:val="22"/>
              </w:rPr>
              <w:t xml:space="preserve">Владеет способами и методами </w:t>
            </w:r>
            <w:r w:rsidRPr="00586972">
              <w:rPr>
                <w:i/>
                <w:color w:val="0F0F0F"/>
                <w:w w:val="105"/>
                <w:sz w:val="22"/>
                <w:szCs w:val="22"/>
              </w:rPr>
              <w:t>контроля</w:t>
            </w:r>
            <w:r w:rsidRPr="00586972">
              <w:rPr>
                <w:i/>
                <w:color w:val="0F0F0F"/>
                <w:spacing w:val="-23"/>
                <w:w w:val="105"/>
                <w:sz w:val="22"/>
                <w:szCs w:val="22"/>
              </w:rPr>
              <w:t xml:space="preserve"> </w:t>
            </w:r>
            <w:r w:rsidRPr="00586972">
              <w:rPr>
                <w:i/>
                <w:color w:val="0F0F0F"/>
                <w:w w:val="105"/>
                <w:sz w:val="22"/>
                <w:szCs w:val="22"/>
              </w:rPr>
              <w:t>оплаты</w:t>
            </w:r>
            <w:r w:rsidRPr="00586972">
              <w:rPr>
                <w:i/>
                <w:color w:val="0F0F0F"/>
                <w:spacing w:val="-16"/>
                <w:w w:val="105"/>
                <w:sz w:val="22"/>
                <w:szCs w:val="22"/>
              </w:rPr>
              <w:t xml:space="preserve"> </w:t>
            </w:r>
            <w:r w:rsidRPr="00586972">
              <w:rPr>
                <w:i/>
                <w:color w:val="0F0F0F"/>
                <w:w w:val="105"/>
                <w:sz w:val="22"/>
                <w:szCs w:val="22"/>
              </w:rPr>
              <w:t>счетов</w:t>
            </w:r>
            <w:r w:rsidRPr="00586972">
              <w:rPr>
                <w:i/>
                <w:color w:val="0F0F0F"/>
                <w:spacing w:val="-8"/>
                <w:w w:val="105"/>
                <w:sz w:val="22"/>
                <w:szCs w:val="22"/>
              </w:rPr>
              <w:t xml:space="preserve"> </w:t>
            </w:r>
            <w:r w:rsidRPr="00586972">
              <w:rPr>
                <w:i/>
                <w:color w:val="000000"/>
                <w:w w:val="105"/>
                <w:sz w:val="22"/>
                <w:szCs w:val="22"/>
              </w:rPr>
              <w:t>подрядчика</w:t>
            </w:r>
          </w:p>
        </w:tc>
      </w:tr>
      <w:tr w:rsidR="00C93352" w14:paraId="6DEF9752" w14:textId="77777777" w:rsidTr="00C93352">
        <w:tc>
          <w:tcPr>
            <w:tcW w:w="4672" w:type="dxa"/>
          </w:tcPr>
          <w:p w14:paraId="3F77071E" w14:textId="52DA7A92" w:rsidR="00C93352" w:rsidRPr="00586972" w:rsidRDefault="00C93352" w:rsidP="00C93352">
            <w:pPr>
              <w:jc w:val="both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  <w:r w:rsidRPr="00586972"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  <w:t xml:space="preserve">ПК-3 </w:t>
            </w:r>
            <w:r w:rsidRPr="00586972">
              <w:rPr>
                <w:rFonts w:eastAsiaTheme="minorHAnsi"/>
                <w:i/>
                <w:sz w:val="22"/>
                <w:szCs w:val="22"/>
                <w:lang w:eastAsia="en-US"/>
              </w:rPr>
              <w:t>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672" w:type="dxa"/>
          </w:tcPr>
          <w:p w14:paraId="5458CE4F" w14:textId="461A359F" w:rsidR="00C93352" w:rsidRDefault="00C93352" w:rsidP="00C93352">
            <w:pPr>
              <w:jc w:val="both"/>
              <w:rPr>
                <w:i/>
                <w:highlight w:val="yellow"/>
              </w:rPr>
            </w:pPr>
            <w:r w:rsidRPr="00586972">
              <w:rPr>
                <w:i/>
                <w:sz w:val="22"/>
                <w:szCs w:val="22"/>
              </w:rPr>
              <w:t xml:space="preserve">ПК-3.1.3 </w:t>
            </w:r>
            <w:r w:rsidRPr="00586972">
              <w:rPr>
                <w:i/>
                <w:iCs/>
                <w:sz w:val="22"/>
                <w:szCs w:val="22"/>
              </w:rPr>
              <w:t xml:space="preserve">Знает </w:t>
            </w:r>
            <w:r w:rsidRPr="00586972">
              <w:rPr>
                <w:i/>
                <w:sz w:val="22"/>
                <w:szCs w:val="22"/>
              </w:rPr>
              <w:t>коммерческую политику компании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C2AB58A" w14:textId="55F81B5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Коммерческая политика компании в области финансового контроля</w:t>
      </w:r>
    </w:p>
    <w:p w14:paraId="6D834ED0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Нормативные документы организаций-перевозчиков в области финансового контроля</w:t>
      </w:r>
    </w:p>
    <w:p w14:paraId="6173800A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Программное обеспечение и IT в области финансового контроля</w:t>
      </w:r>
    </w:p>
    <w:p w14:paraId="2703F0DA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Структура и содержание договорной документации</w:t>
      </w:r>
    </w:p>
    <w:p w14:paraId="5D3BA047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Финансовый контроль договора при его согласовании, получении виз, отказа и другой коммуникации с подрядчиками</w:t>
      </w:r>
    </w:p>
    <w:p w14:paraId="5380AFC4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Способы и методы контроля финансовых взаимоотношений с подрядчиком</w:t>
      </w:r>
    </w:p>
    <w:p w14:paraId="0AE3C23B" w14:textId="77777777" w:rsidR="00091ED3" w:rsidRPr="00091ED3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Способы и методы контроля оплаты счетов подрядчика</w:t>
      </w:r>
    </w:p>
    <w:p w14:paraId="66B12347" w14:textId="104342D2" w:rsidR="00C93352" w:rsidRDefault="00091ED3" w:rsidP="00091ED3">
      <w:pPr>
        <w:pStyle w:val="af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091ED3">
        <w:rPr>
          <w:rFonts w:ascii="Times New Roman" w:hAnsi="Times New Roman"/>
          <w:sz w:val="24"/>
          <w:szCs w:val="24"/>
        </w:rPr>
        <w:t>Анализ информации и формирование отчетов по результатам финансового контроля</w:t>
      </w:r>
    </w:p>
    <w:p w14:paraId="7F673E1D" w14:textId="77777777" w:rsidR="00301486" w:rsidRPr="00091ED3" w:rsidRDefault="00301486" w:rsidP="00301486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BD35D5A" w:rsidR="003749D2" w:rsidRPr="00152A7C" w:rsidRDefault="003749D2" w:rsidP="00C9335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410DA2E" w14:textId="1C8EC6FC" w:rsidR="00962895" w:rsidRDefault="00962895" w:rsidP="003749D2">
      <w:pPr>
        <w:contextualSpacing/>
        <w:jc w:val="both"/>
      </w:pPr>
      <w:r>
        <w:t>Для очной формы обучения</w:t>
      </w:r>
    </w:p>
    <w:p w14:paraId="61E1B574" w14:textId="479541F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A4149">
        <w:t>3</w:t>
      </w:r>
      <w:r w:rsidRPr="00152A7C">
        <w:t xml:space="preserve"> зачетные единицы (</w:t>
      </w:r>
      <w:r w:rsidR="000A4149">
        <w:t xml:space="preserve">108 </w:t>
      </w:r>
      <w:r w:rsidRPr="00152A7C">
        <w:t>час.), в том числе:</w:t>
      </w:r>
    </w:p>
    <w:p w14:paraId="2AFAFF4E" w14:textId="1BC19E47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0A4149">
        <w:t xml:space="preserve"> 20</w:t>
      </w:r>
      <w:r w:rsidRPr="00152A7C">
        <w:t xml:space="preserve"> час.</w:t>
      </w:r>
    </w:p>
    <w:p w14:paraId="7A2116D8" w14:textId="6487DE75"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0A4149">
        <w:t xml:space="preserve"> 20 </w:t>
      </w:r>
      <w:r w:rsidRPr="00152A7C">
        <w:t>час.</w:t>
      </w:r>
    </w:p>
    <w:p w14:paraId="62764F8F" w14:textId="7B817ECE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A4149">
        <w:t>64</w:t>
      </w:r>
      <w:r w:rsidRPr="00152A7C">
        <w:t xml:space="preserve"> час.</w:t>
      </w:r>
    </w:p>
    <w:p w14:paraId="31A7B21D" w14:textId="49281B4C" w:rsidR="00AE43E3" w:rsidRPr="00152A7C" w:rsidRDefault="00AE43E3" w:rsidP="003749D2">
      <w:pPr>
        <w:contextualSpacing/>
        <w:jc w:val="both"/>
      </w:pPr>
      <w:r>
        <w:t>Контроль – 4 час.</w:t>
      </w:r>
    </w:p>
    <w:p w14:paraId="6FD6FAC9" w14:textId="4DC336D3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0A4149">
        <w:t>–</w:t>
      </w:r>
      <w:r w:rsidRPr="00152A7C">
        <w:t xml:space="preserve"> </w:t>
      </w:r>
      <w:r w:rsidR="000A4149">
        <w:t>Зачет.</w:t>
      </w:r>
    </w:p>
    <w:p w14:paraId="540E3006" w14:textId="77777777" w:rsidR="00962895" w:rsidRDefault="00962895" w:rsidP="00962895">
      <w:r>
        <w:t>Для очно-заочной формы обучения</w:t>
      </w:r>
    </w:p>
    <w:p w14:paraId="3F553890" w14:textId="77777777" w:rsidR="00962895" w:rsidRPr="00152A7C" w:rsidRDefault="00962895" w:rsidP="00962895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4367B2BF" w14:textId="77777777" w:rsidR="00962895" w:rsidRPr="00152A7C" w:rsidRDefault="00962895" w:rsidP="00962895">
      <w:pPr>
        <w:contextualSpacing/>
        <w:jc w:val="both"/>
      </w:pPr>
      <w:r w:rsidRPr="00152A7C">
        <w:t>лекции –</w:t>
      </w:r>
      <w:r>
        <w:t xml:space="preserve"> 10</w:t>
      </w:r>
      <w:r w:rsidRPr="00152A7C">
        <w:t xml:space="preserve"> час.</w:t>
      </w:r>
    </w:p>
    <w:p w14:paraId="7C411955" w14:textId="77777777" w:rsidR="00962895" w:rsidRPr="00152A7C" w:rsidRDefault="00962895" w:rsidP="00962895">
      <w:pPr>
        <w:contextualSpacing/>
        <w:jc w:val="both"/>
      </w:pPr>
      <w:r w:rsidRPr="00152A7C">
        <w:t>практические занятия –</w:t>
      </w:r>
      <w:r>
        <w:t xml:space="preserve"> 20 </w:t>
      </w:r>
      <w:r w:rsidRPr="00152A7C">
        <w:t>час.</w:t>
      </w:r>
    </w:p>
    <w:p w14:paraId="6875CAD0" w14:textId="77777777" w:rsidR="00962895" w:rsidRDefault="00962895" w:rsidP="00962895">
      <w:pPr>
        <w:contextualSpacing/>
        <w:jc w:val="both"/>
      </w:pPr>
      <w:r w:rsidRPr="00152A7C">
        <w:t xml:space="preserve">самостоятельная работа – </w:t>
      </w:r>
      <w:r>
        <w:t>74</w:t>
      </w:r>
      <w:r w:rsidRPr="00152A7C">
        <w:t xml:space="preserve"> час.</w:t>
      </w:r>
    </w:p>
    <w:p w14:paraId="09F26E00" w14:textId="77777777" w:rsidR="00962895" w:rsidRPr="00152A7C" w:rsidRDefault="00962895" w:rsidP="00962895">
      <w:pPr>
        <w:contextualSpacing/>
        <w:jc w:val="both"/>
      </w:pPr>
      <w:r>
        <w:t>Контроль – 4 час.</w:t>
      </w:r>
    </w:p>
    <w:p w14:paraId="3472A0B6" w14:textId="77777777" w:rsidR="00962895" w:rsidRPr="00152A7C" w:rsidRDefault="00962895" w:rsidP="00962895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199CF921" w14:textId="25586408" w:rsidR="00271206" w:rsidRDefault="00271206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9482" w14:textId="77777777" w:rsidR="00DE6DA0" w:rsidRDefault="00DE6DA0" w:rsidP="008655F0">
      <w:r>
        <w:separator/>
      </w:r>
    </w:p>
  </w:endnote>
  <w:endnote w:type="continuationSeparator" w:id="0">
    <w:p w14:paraId="51A919D5" w14:textId="77777777" w:rsidR="00DE6DA0" w:rsidRDefault="00DE6DA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D038" w14:textId="77777777" w:rsidR="00DE6DA0" w:rsidRDefault="00DE6DA0" w:rsidP="008655F0">
      <w:r>
        <w:separator/>
      </w:r>
    </w:p>
  </w:footnote>
  <w:footnote w:type="continuationSeparator" w:id="0">
    <w:p w14:paraId="54ABCDC2" w14:textId="77777777" w:rsidR="00DE6DA0" w:rsidRDefault="00DE6DA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A3D1BF3"/>
    <w:multiLevelType w:val="hybridMultilevel"/>
    <w:tmpl w:val="D420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7"/>
  </w:num>
  <w:num w:numId="14">
    <w:abstractNumId w:val="33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6"/>
  </w:num>
  <w:num w:numId="28">
    <w:abstractNumId w:val="25"/>
  </w:num>
  <w:num w:numId="29">
    <w:abstractNumId w:val="21"/>
  </w:num>
  <w:num w:numId="30">
    <w:abstractNumId w:val="41"/>
  </w:num>
  <w:num w:numId="31">
    <w:abstractNumId w:val="6"/>
  </w:num>
  <w:num w:numId="32">
    <w:abstractNumId w:val="17"/>
  </w:num>
  <w:num w:numId="33">
    <w:abstractNumId w:val="39"/>
  </w:num>
  <w:num w:numId="34">
    <w:abstractNumId w:val="46"/>
  </w:num>
  <w:num w:numId="35">
    <w:abstractNumId w:val="24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8"/>
  </w:num>
  <w:num w:numId="5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ED3"/>
    <w:rsid w:val="00091F35"/>
    <w:rsid w:val="00091FDD"/>
    <w:rsid w:val="00094137"/>
    <w:rsid w:val="000A053A"/>
    <w:rsid w:val="000A1556"/>
    <w:rsid w:val="000A4149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1B09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92A"/>
    <w:rsid w:val="002B1CF4"/>
    <w:rsid w:val="002B559D"/>
    <w:rsid w:val="002C0A91"/>
    <w:rsid w:val="002C1C13"/>
    <w:rsid w:val="002C308C"/>
    <w:rsid w:val="002C67B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486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2E0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5C4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321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5B68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895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3E3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CF7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352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DA0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781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5D79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261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D2409AA6-076F-46D6-BE94-7D3A57E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3FBE-F149-4AA0-815A-3E4CDC63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3545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cp:lastPrinted>2021-02-17T07:12:00Z</cp:lastPrinted>
  <dcterms:created xsi:type="dcterms:W3CDTF">2021-04-03T18:18:00Z</dcterms:created>
  <dcterms:modified xsi:type="dcterms:W3CDTF">2023-05-10T08:56:00Z</dcterms:modified>
</cp:coreProperties>
</file>