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12" w:rsidRDefault="00790252">
      <w:pPr>
        <w:pStyle w:val="a3"/>
        <w:spacing w:before="68"/>
        <w:ind w:left="3384" w:right="3389"/>
        <w:jc w:val="center"/>
      </w:pPr>
      <w:bookmarkStart w:id="0" w:name="_GoBack"/>
      <w:bookmarkEnd w:id="0"/>
      <w:r>
        <w:t>АННОТАЦИЯ</w:t>
      </w:r>
    </w:p>
    <w:p w:rsidR="00F30412" w:rsidRDefault="00790252">
      <w:pPr>
        <w:pStyle w:val="a3"/>
        <w:spacing w:before="41"/>
        <w:ind w:left="3386" w:right="3389"/>
        <w:jc w:val="center"/>
      </w:pPr>
      <w:r>
        <w:t>производственной практики</w:t>
      </w:r>
    </w:p>
    <w:p w:rsidR="00F30412" w:rsidRPr="00C75257" w:rsidRDefault="009F1B0F">
      <w:pPr>
        <w:spacing w:before="1"/>
        <w:ind w:left="2499"/>
        <w:rPr>
          <w:i/>
          <w:sz w:val="24"/>
          <w:szCs w:val="24"/>
        </w:rPr>
      </w:pPr>
      <w:r w:rsidRPr="00C75257">
        <w:rPr>
          <w:i/>
          <w:sz w:val="24"/>
          <w:szCs w:val="24"/>
        </w:rPr>
        <w:t>Б2.</w:t>
      </w:r>
      <w:r w:rsidR="00C75257" w:rsidRPr="00C75257">
        <w:rPr>
          <w:i/>
          <w:sz w:val="24"/>
          <w:szCs w:val="24"/>
        </w:rPr>
        <w:t xml:space="preserve"> </w:t>
      </w:r>
      <w:r w:rsidRPr="00C75257">
        <w:rPr>
          <w:i/>
          <w:sz w:val="24"/>
          <w:szCs w:val="24"/>
        </w:rPr>
        <w:t xml:space="preserve">В.2 </w:t>
      </w:r>
      <w:r w:rsidR="00C75257" w:rsidRPr="00C75257">
        <w:rPr>
          <w:i/>
          <w:sz w:val="24"/>
          <w:szCs w:val="24"/>
        </w:rPr>
        <w:t xml:space="preserve">(П) </w:t>
      </w:r>
      <w:r w:rsidR="00790252" w:rsidRPr="00C75257">
        <w:rPr>
          <w:i/>
          <w:sz w:val="24"/>
          <w:szCs w:val="24"/>
        </w:rPr>
        <w:t>«ИСПОЛНИТЕЛЬСКАЯ ПРАКТИКА»</w:t>
      </w:r>
    </w:p>
    <w:p w:rsidR="00F30412" w:rsidRPr="007A5B9E" w:rsidRDefault="00F30412">
      <w:pPr>
        <w:pStyle w:val="a3"/>
        <w:spacing w:before="10"/>
        <w:ind w:left="0"/>
        <w:rPr>
          <w:sz w:val="16"/>
          <w:szCs w:val="16"/>
        </w:rPr>
      </w:pPr>
    </w:p>
    <w:p w:rsidR="00C75257" w:rsidRPr="00C75257" w:rsidRDefault="00C75257" w:rsidP="00C75257">
      <w:pPr>
        <w:ind w:left="142"/>
        <w:jc w:val="both"/>
        <w:rPr>
          <w:sz w:val="24"/>
          <w:szCs w:val="24"/>
        </w:rPr>
      </w:pPr>
      <w:r w:rsidRPr="00C75257">
        <w:rPr>
          <w:sz w:val="24"/>
          <w:szCs w:val="24"/>
        </w:rPr>
        <w:t>Специальность – 08.05.01 «Строительство уникальных зданий и сооружений»</w:t>
      </w:r>
    </w:p>
    <w:p w:rsidR="00C75257" w:rsidRPr="00C75257" w:rsidRDefault="00C75257" w:rsidP="00C75257">
      <w:pPr>
        <w:ind w:left="142"/>
        <w:jc w:val="both"/>
        <w:rPr>
          <w:sz w:val="24"/>
          <w:szCs w:val="24"/>
        </w:rPr>
      </w:pPr>
      <w:r w:rsidRPr="00C75257">
        <w:rPr>
          <w:sz w:val="24"/>
          <w:szCs w:val="24"/>
        </w:rPr>
        <w:t>Квалификация (степень) выпускника – инженер-строитель</w:t>
      </w:r>
    </w:p>
    <w:p w:rsidR="00C75257" w:rsidRPr="00C75257" w:rsidRDefault="00C75257" w:rsidP="00C75257">
      <w:pPr>
        <w:ind w:left="142"/>
        <w:jc w:val="both"/>
        <w:rPr>
          <w:sz w:val="24"/>
          <w:szCs w:val="24"/>
        </w:rPr>
      </w:pPr>
      <w:r w:rsidRPr="00C75257">
        <w:rPr>
          <w:sz w:val="24"/>
          <w:szCs w:val="24"/>
        </w:rPr>
        <w:t>Специализация – «Строительство высотных и большепролетных зданий и сооружений»</w:t>
      </w:r>
    </w:p>
    <w:p w:rsidR="00F30412" w:rsidRDefault="00790252">
      <w:pPr>
        <w:pStyle w:val="1"/>
        <w:numPr>
          <w:ilvl w:val="0"/>
          <w:numId w:val="2"/>
        </w:numPr>
        <w:tabs>
          <w:tab w:val="left" w:pos="342"/>
        </w:tabs>
        <w:ind w:firstLine="0"/>
      </w:pPr>
      <w:r>
        <w:t>Вид практики, способы и формы ее</w:t>
      </w:r>
      <w:r>
        <w:rPr>
          <w:spacing w:val="-5"/>
        </w:rPr>
        <w:t xml:space="preserve"> </w:t>
      </w:r>
      <w:r>
        <w:t>проведения</w:t>
      </w:r>
    </w:p>
    <w:p w:rsidR="009F1B0F" w:rsidRDefault="009F1B0F" w:rsidP="009F1B0F">
      <w:pPr>
        <w:pStyle w:val="a3"/>
        <w:ind w:right="-71"/>
        <w:jc w:val="both"/>
      </w:pPr>
      <w:r w:rsidRPr="00B10405">
        <w:t xml:space="preserve">Практика </w:t>
      </w:r>
      <w:r>
        <w:t xml:space="preserve">относится к обязательной части, </w:t>
      </w:r>
      <w:r w:rsidRPr="00B10405">
        <w:t>формируемой участниками образовательных отношений Блока 2 «</w:t>
      </w:r>
      <w:r>
        <w:rPr>
          <w:i/>
        </w:rPr>
        <w:t>Практика</w:t>
      </w:r>
      <w:r w:rsidRPr="00B10405">
        <w:t>» и является обязательной.</w:t>
      </w:r>
    </w:p>
    <w:p w:rsidR="00F30412" w:rsidRDefault="00790252">
      <w:pPr>
        <w:pStyle w:val="a3"/>
        <w:ind w:right="5028"/>
      </w:pPr>
      <w:r>
        <w:t>Вид практики – производственная практика. Тип практики – исполнительская практика.</w:t>
      </w:r>
    </w:p>
    <w:p w:rsidR="00F30412" w:rsidRDefault="00790252">
      <w:pPr>
        <w:pStyle w:val="a3"/>
      </w:pPr>
      <w:r>
        <w:t>Способ проведения практики – стационарная, выездная.</w:t>
      </w:r>
    </w:p>
    <w:p w:rsidR="00F30412" w:rsidRDefault="00790252">
      <w:pPr>
        <w:pStyle w:val="a4"/>
        <w:numPr>
          <w:ilvl w:val="0"/>
          <w:numId w:val="2"/>
        </w:numPr>
        <w:tabs>
          <w:tab w:val="left" w:pos="342"/>
        </w:tabs>
        <w:spacing w:before="3" w:line="256" w:lineRule="auto"/>
        <w:ind w:right="106" w:firstLine="0"/>
        <w:rPr>
          <w:sz w:val="24"/>
        </w:rPr>
      </w:pPr>
      <w:r>
        <w:rPr>
          <w:b/>
          <w:sz w:val="24"/>
        </w:rPr>
        <w:t xml:space="preserve">Перечень планируемых результатов обучения при прохождении практики </w:t>
      </w:r>
    </w:p>
    <w:p w:rsidR="009F1B0F" w:rsidRPr="009548E8" w:rsidRDefault="009F1B0F" w:rsidP="009F1B0F">
      <w:pPr>
        <w:pStyle w:val="a4"/>
        <w:jc w:val="both"/>
        <w:rPr>
          <w:sz w:val="24"/>
          <w:szCs w:val="24"/>
        </w:rPr>
      </w:pPr>
      <w:r w:rsidRPr="009548E8">
        <w:rPr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9F1B0F" w:rsidRDefault="009F1B0F" w:rsidP="009F1B0F">
      <w:pPr>
        <w:pStyle w:val="a4"/>
        <w:jc w:val="both"/>
        <w:rPr>
          <w:sz w:val="24"/>
          <w:szCs w:val="24"/>
        </w:rPr>
      </w:pPr>
      <w:r w:rsidRPr="009F1B0F">
        <w:rPr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9F1B0F">
        <w:rPr>
          <w:sz w:val="24"/>
          <w:szCs w:val="24"/>
        </w:rPr>
        <w:t>сформированность</w:t>
      </w:r>
      <w:proofErr w:type="spellEnd"/>
      <w:r w:rsidRPr="009F1B0F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C75257" w:rsidRPr="007A5B9E" w:rsidRDefault="00C75257" w:rsidP="009F1B0F">
      <w:pPr>
        <w:pStyle w:val="a4"/>
        <w:jc w:val="both"/>
        <w:rPr>
          <w:sz w:val="16"/>
          <w:szCs w:val="16"/>
        </w:rPr>
      </w:pPr>
    </w:p>
    <w:tbl>
      <w:tblPr>
        <w:tblStyle w:val="a5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C75257" w:rsidRPr="007A5B9E" w:rsidTr="007A5B9E">
        <w:tc>
          <w:tcPr>
            <w:tcW w:w="2943" w:type="dxa"/>
          </w:tcPr>
          <w:p w:rsidR="00C75257" w:rsidRPr="007A5B9E" w:rsidRDefault="00C75257" w:rsidP="00C75257">
            <w:pPr>
              <w:jc w:val="center"/>
              <w:rPr>
                <w:b/>
                <w:sz w:val="24"/>
                <w:szCs w:val="24"/>
              </w:rPr>
            </w:pPr>
            <w:r w:rsidRPr="007A5B9E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6663" w:type="dxa"/>
          </w:tcPr>
          <w:p w:rsidR="00C75257" w:rsidRPr="007A5B9E" w:rsidRDefault="00C75257" w:rsidP="00C7525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A5B9E">
              <w:rPr>
                <w:b/>
                <w:sz w:val="24"/>
                <w:szCs w:val="24"/>
              </w:rPr>
              <w:t>Индикатор компетенции</w:t>
            </w:r>
          </w:p>
        </w:tc>
      </w:tr>
      <w:tr w:rsidR="00C75257" w:rsidRPr="007A5B9E" w:rsidTr="007A5B9E">
        <w:tc>
          <w:tcPr>
            <w:tcW w:w="2943" w:type="dxa"/>
            <w:vMerge w:val="restart"/>
          </w:tcPr>
          <w:p w:rsidR="007A5B9E" w:rsidRPr="007A5B9E" w:rsidRDefault="007A5B9E" w:rsidP="007A5B9E">
            <w:pPr>
              <w:ind w:left="34"/>
              <w:jc w:val="both"/>
              <w:rPr>
                <w:sz w:val="24"/>
                <w:szCs w:val="24"/>
              </w:rPr>
            </w:pPr>
            <w:r w:rsidRPr="007A5B9E">
              <w:rPr>
                <w:sz w:val="24"/>
                <w:szCs w:val="24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  <w:p w:rsidR="00C75257" w:rsidRPr="007A5B9E" w:rsidRDefault="00C75257" w:rsidP="007A5B9E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C75257" w:rsidRPr="007A5B9E" w:rsidRDefault="007A5B9E" w:rsidP="00C7525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highlight w:val="yellow"/>
              </w:rPr>
            </w:pPr>
            <w:r w:rsidRPr="007A5B9E">
              <w:rPr>
                <w:sz w:val="24"/>
                <w:szCs w:val="24"/>
              </w:rPr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C75257" w:rsidRPr="007A5B9E" w:rsidTr="007A5B9E">
        <w:tc>
          <w:tcPr>
            <w:tcW w:w="2943" w:type="dxa"/>
            <w:vMerge/>
          </w:tcPr>
          <w:p w:rsidR="00C75257" w:rsidRPr="007A5B9E" w:rsidRDefault="00C75257" w:rsidP="00C7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C75257" w:rsidRPr="007A5B9E" w:rsidRDefault="007A5B9E" w:rsidP="00C75257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7A5B9E">
              <w:rPr>
                <w:sz w:val="24"/>
                <w:szCs w:val="24"/>
              </w:rPr>
              <w:t>ПК-1.1.2 Знает перечень исходных данных и условий для подготовки проектной документации</w:t>
            </w:r>
          </w:p>
        </w:tc>
      </w:tr>
      <w:tr w:rsidR="007A5B9E" w:rsidRPr="007A5B9E" w:rsidTr="007A5B9E">
        <w:tc>
          <w:tcPr>
            <w:tcW w:w="2943" w:type="dxa"/>
            <w:vMerge/>
          </w:tcPr>
          <w:p w:rsidR="007A5B9E" w:rsidRPr="007A5B9E" w:rsidRDefault="007A5B9E" w:rsidP="00C7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A5B9E" w:rsidRPr="007A5B9E" w:rsidRDefault="007A5B9E" w:rsidP="007A5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5B9E">
              <w:rPr>
                <w:sz w:val="24"/>
                <w:szCs w:val="24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7A5B9E" w:rsidRPr="007A5B9E" w:rsidTr="007A5B9E">
        <w:tc>
          <w:tcPr>
            <w:tcW w:w="2943" w:type="dxa"/>
            <w:vMerge/>
          </w:tcPr>
          <w:p w:rsidR="007A5B9E" w:rsidRPr="007A5B9E" w:rsidRDefault="007A5B9E" w:rsidP="00C7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A5B9E" w:rsidRPr="007A5B9E" w:rsidRDefault="007A5B9E" w:rsidP="007A5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5B9E">
              <w:rPr>
                <w:sz w:val="24"/>
                <w:szCs w:val="24"/>
              </w:rPr>
              <w:t>ПК-1.1.4 Знает порядок согласования, структуру и форму технического задания на проектирование объекта капитального 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</w:tr>
      <w:tr w:rsidR="007A5B9E" w:rsidRPr="007A5B9E" w:rsidTr="007A5B9E">
        <w:tc>
          <w:tcPr>
            <w:tcW w:w="2943" w:type="dxa"/>
            <w:vMerge/>
          </w:tcPr>
          <w:p w:rsidR="007A5B9E" w:rsidRPr="007A5B9E" w:rsidRDefault="007A5B9E" w:rsidP="00C7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A5B9E" w:rsidRPr="007A5B9E" w:rsidRDefault="007A5B9E" w:rsidP="007A5B9E">
            <w:pPr>
              <w:jc w:val="both"/>
              <w:rPr>
                <w:sz w:val="24"/>
                <w:szCs w:val="24"/>
              </w:rPr>
            </w:pPr>
            <w:r w:rsidRPr="007A5B9E">
              <w:rPr>
                <w:sz w:val="24"/>
                <w:szCs w:val="24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</w:tr>
    </w:tbl>
    <w:p w:rsidR="007A5B9E" w:rsidRDefault="007A5B9E" w:rsidP="00790252">
      <w:pPr>
        <w:pStyle w:val="a4"/>
        <w:contextualSpacing/>
        <w:jc w:val="both"/>
        <w:rPr>
          <w:b/>
        </w:rPr>
      </w:pPr>
    </w:p>
    <w:p w:rsidR="007A5B9E" w:rsidRDefault="007A5B9E" w:rsidP="00790252">
      <w:pPr>
        <w:pStyle w:val="a4"/>
        <w:contextualSpacing/>
        <w:jc w:val="both"/>
        <w:rPr>
          <w:b/>
        </w:rPr>
      </w:pPr>
    </w:p>
    <w:p w:rsidR="00790252" w:rsidRPr="006A1AF8" w:rsidRDefault="00790252" w:rsidP="00790252">
      <w:pPr>
        <w:pStyle w:val="a4"/>
        <w:contextualSpacing/>
        <w:jc w:val="both"/>
        <w:rPr>
          <w:b/>
        </w:rPr>
      </w:pPr>
      <w:r w:rsidRPr="006A1AF8">
        <w:rPr>
          <w:b/>
        </w:rPr>
        <w:lastRenderedPageBreak/>
        <w:t>3. Объем практики и ее продолжительность</w:t>
      </w:r>
    </w:p>
    <w:p w:rsidR="00790252" w:rsidRPr="00C75257" w:rsidRDefault="00790252" w:rsidP="00790252">
      <w:pPr>
        <w:pStyle w:val="a4"/>
        <w:jc w:val="both"/>
        <w:rPr>
          <w:sz w:val="24"/>
          <w:szCs w:val="24"/>
        </w:rPr>
      </w:pPr>
      <w:r w:rsidRPr="00C75257">
        <w:rPr>
          <w:sz w:val="24"/>
          <w:szCs w:val="24"/>
        </w:rPr>
        <w:t>Практика распределена в течение учебных занятий/проводится концентрировано.</w:t>
      </w:r>
    </w:p>
    <w:p w:rsidR="00790252" w:rsidRPr="006A1AF8" w:rsidRDefault="00790252" w:rsidP="00790252">
      <w:pPr>
        <w:pStyle w:val="a4"/>
        <w:contextualSpacing/>
        <w:jc w:val="both"/>
        <w:rPr>
          <w:b/>
        </w:rPr>
      </w:pPr>
    </w:p>
    <w:p w:rsidR="00790252" w:rsidRDefault="00790252" w:rsidP="00790252">
      <w:pPr>
        <w:ind w:left="101" w:right="4554"/>
        <w:rPr>
          <w:sz w:val="24"/>
        </w:rPr>
      </w:pPr>
      <w:r>
        <w:rPr>
          <w:sz w:val="24"/>
        </w:rPr>
        <w:t xml:space="preserve">Объем практики – 6 зачетных единиц (216 час.) Форма контроля знаний – </w:t>
      </w:r>
      <w:r w:rsidR="00C75257">
        <w:rPr>
          <w:sz w:val="24"/>
        </w:rPr>
        <w:t>экзамен</w:t>
      </w:r>
      <w:r>
        <w:rPr>
          <w:sz w:val="24"/>
        </w:rPr>
        <w:t>.</w:t>
      </w:r>
    </w:p>
    <w:p w:rsidR="00F30412" w:rsidRDefault="00F30412">
      <w:pPr>
        <w:pStyle w:val="a3"/>
        <w:ind w:right="4554"/>
      </w:pPr>
    </w:p>
    <w:sectPr w:rsidR="00F30412">
      <w:type w:val="continuous"/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1471"/>
    <w:multiLevelType w:val="hybridMultilevel"/>
    <w:tmpl w:val="D93EB884"/>
    <w:lvl w:ilvl="0" w:tplc="57748DAC">
      <w:start w:val="1"/>
      <w:numFmt w:val="decimal"/>
      <w:lvlText w:val="%1."/>
      <w:lvlJc w:val="left"/>
      <w:pPr>
        <w:ind w:left="101" w:hanging="48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7C043C0A">
      <w:numFmt w:val="bullet"/>
      <w:lvlText w:val="•"/>
      <w:lvlJc w:val="left"/>
      <w:pPr>
        <w:ind w:left="1060" w:hanging="480"/>
      </w:pPr>
      <w:rPr>
        <w:rFonts w:hint="default"/>
        <w:lang w:val="ru-RU" w:eastAsia="ru-RU" w:bidi="ru-RU"/>
      </w:rPr>
    </w:lvl>
    <w:lvl w:ilvl="2" w:tplc="9C2A9502">
      <w:numFmt w:val="bullet"/>
      <w:lvlText w:val="•"/>
      <w:lvlJc w:val="left"/>
      <w:pPr>
        <w:ind w:left="2021" w:hanging="480"/>
      </w:pPr>
      <w:rPr>
        <w:rFonts w:hint="default"/>
        <w:lang w:val="ru-RU" w:eastAsia="ru-RU" w:bidi="ru-RU"/>
      </w:rPr>
    </w:lvl>
    <w:lvl w:ilvl="3" w:tplc="DC846B24">
      <w:numFmt w:val="bullet"/>
      <w:lvlText w:val="•"/>
      <w:lvlJc w:val="left"/>
      <w:pPr>
        <w:ind w:left="2981" w:hanging="480"/>
      </w:pPr>
      <w:rPr>
        <w:rFonts w:hint="default"/>
        <w:lang w:val="ru-RU" w:eastAsia="ru-RU" w:bidi="ru-RU"/>
      </w:rPr>
    </w:lvl>
    <w:lvl w:ilvl="4" w:tplc="D166B198">
      <w:numFmt w:val="bullet"/>
      <w:lvlText w:val="•"/>
      <w:lvlJc w:val="left"/>
      <w:pPr>
        <w:ind w:left="3942" w:hanging="480"/>
      </w:pPr>
      <w:rPr>
        <w:rFonts w:hint="default"/>
        <w:lang w:val="ru-RU" w:eastAsia="ru-RU" w:bidi="ru-RU"/>
      </w:rPr>
    </w:lvl>
    <w:lvl w:ilvl="5" w:tplc="9A089840">
      <w:numFmt w:val="bullet"/>
      <w:lvlText w:val="•"/>
      <w:lvlJc w:val="left"/>
      <w:pPr>
        <w:ind w:left="4903" w:hanging="480"/>
      </w:pPr>
      <w:rPr>
        <w:rFonts w:hint="default"/>
        <w:lang w:val="ru-RU" w:eastAsia="ru-RU" w:bidi="ru-RU"/>
      </w:rPr>
    </w:lvl>
    <w:lvl w:ilvl="6" w:tplc="3798342E">
      <w:numFmt w:val="bullet"/>
      <w:lvlText w:val="•"/>
      <w:lvlJc w:val="left"/>
      <w:pPr>
        <w:ind w:left="5863" w:hanging="480"/>
      </w:pPr>
      <w:rPr>
        <w:rFonts w:hint="default"/>
        <w:lang w:val="ru-RU" w:eastAsia="ru-RU" w:bidi="ru-RU"/>
      </w:rPr>
    </w:lvl>
    <w:lvl w:ilvl="7" w:tplc="431E3BF6">
      <w:numFmt w:val="bullet"/>
      <w:lvlText w:val="•"/>
      <w:lvlJc w:val="left"/>
      <w:pPr>
        <w:ind w:left="6824" w:hanging="480"/>
      </w:pPr>
      <w:rPr>
        <w:rFonts w:hint="default"/>
        <w:lang w:val="ru-RU" w:eastAsia="ru-RU" w:bidi="ru-RU"/>
      </w:rPr>
    </w:lvl>
    <w:lvl w:ilvl="8" w:tplc="A1AE0B64">
      <w:numFmt w:val="bullet"/>
      <w:lvlText w:val="•"/>
      <w:lvlJc w:val="left"/>
      <w:pPr>
        <w:ind w:left="7785" w:hanging="480"/>
      </w:pPr>
      <w:rPr>
        <w:rFonts w:hint="default"/>
        <w:lang w:val="ru-RU" w:eastAsia="ru-RU" w:bidi="ru-RU"/>
      </w:rPr>
    </w:lvl>
  </w:abstractNum>
  <w:abstractNum w:abstractNumId="1" w15:restartNumberingAfterBreak="0">
    <w:nsid w:val="33DB10FF"/>
    <w:multiLevelType w:val="hybridMultilevel"/>
    <w:tmpl w:val="82AEC86E"/>
    <w:lvl w:ilvl="0" w:tplc="98CEBBDA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154A3930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4EE6375E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3" w:tplc="68865602">
      <w:numFmt w:val="bullet"/>
      <w:lvlText w:val="•"/>
      <w:lvlJc w:val="left"/>
      <w:pPr>
        <w:ind w:left="2981" w:hanging="240"/>
      </w:pPr>
      <w:rPr>
        <w:rFonts w:hint="default"/>
        <w:lang w:val="ru-RU" w:eastAsia="ru-RU" w:bidi="ru-RU"/>
      </w:rPr>
    </w:lvl>
    <w:lvl w:ilvl="4" w:tplc="EDD0F080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28BC34AC">
      <w:numFmt w:val="bullet"/>
      <w:lvlText w:val="•"/>
      <w:lvlJc w:val="left"/>
      <w:pPr>
        <w:ind w:left="4903" w:hanging="240"/>
      </w:pPr>
      <w:rPr>
        <w:rFonts w:hint="default"/>
        <w:lang w:val="ru-RU" w:eastAsia="ru-RU" w:bidi="ru-RU"/>
      </w:rPr>
    </w:lvl>
    <w:lvl w:ilvl="6" w:tplc="FB0EEFB6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C3341698">
      <w:numFmt w:val="bullet"/>
      <w:lvlText w:val="•"/>
      <w:lvlJc w:val="left"/>
      <w:pPr>
        <w:ind w:left="6824" w:hanging="240"/>
      </w:pPr>
      <w:rPr>
        <w:rFonts w:hint="default"/>
        <w:lang w:val="ru-RU" w:eastAsia="ru-RU" w:bidi="ru-RU"/>
      </w:rPr>
    </w:lvl>
    <w:lvl w:ilvl="8" w:tplc="3ADEDBFA">
      <w:numFmt w:val="bullet"/>
      <w:lvlText w:val="•"/>
      <w:lvlJc w:val="left"/>
      <w:pPr>
        <w:ind w:left="7785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12"/>
    <w:rsid w:val="00790252"/>
    <w:rsid w:val="007A5B9E"/>
    <w:rsid w:val="009F1B0F"/>
    <w:rsid w:val="00C75257"/>
    <w:rsid w:val="00D51FF0"/>
    <w:rsid w:val="00E908DB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A026-6F0D-4703-A223-AAEF890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1B0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7902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1F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FF0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2023-04-24T16:40:00Z</cp:lastPrinted>
  <dcterms:created xsi:type="dcterms:W3CDTF">2023-04-24T16:40:00Z</dcterms:created>
  <dcterms:modified xsi:type="dcterms:W3CDTF">2023-04-24T16:40:00Z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2021-11-25T00:00:00Z</vt:filetime>
  </property>
</Properties>
</file>