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АННОТАЦИЯ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Б1.О.3 «ИНОСТРАННЫЙ ЯЗЫК»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Специализации – «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Пассажирский комплекс железнодорожного транспорта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Дисциплина «Иностранный язык» (Б1.О.3) относится к блоку 1 обязательной части.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изучения дисциплины «Иностранный язык» является формирование и развитие иноязычной коммуникативной компетентности б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cs="Tahoma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 обучающихся когнитивной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социокультурной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прагматической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учебных умений и навыков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развитие и воспитание личностных качеств обучающихся средствами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иностранного языка.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компетенции УК-4: </w:t>
      </w:r>
      <w:r>
        <w:rPr>
          <w:rFonts w:ascii="Times New Roman" w:hAnsi="Times New Roman"/>
          <w:sz w:val="24"/>
          <w:szCs w:val="24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24"/>
        <w:gridCol w:w="6420"/>
      </w:tblGrid>
      <w:tr>
        <w:trPr/>
        <w:tc>
          <w:tcPr>
            <w:tcW w:w="2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Компетенция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292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УК-4: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УК-4.1.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Знает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стандарты делопроизводства, принципы и правила ведения переговоров и деловой переписки на русском и иностранном языках.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УК-4.2.1.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Умеет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УК-4.3.1.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Владеет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практическими навыками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Чтение, говорение, аудирование, письмо, языковые средства: лексические и грамматические.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1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28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1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48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48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зачета (1,2,3 семестры), 1 экзамен (4 семестр).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заочной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42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261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21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контрольные работы (2 к.р. – 1 курс, 1 к.р.  – 2 курс), 3 зачета (2 зачета – 1 курс, 1 зачет – 2 курс), 1 экзамен (2 курс).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141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37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LibreOffice/7.3.3.2$Windows_X86_64 LibreOffice_project/d1d0ea68f081ee2800a922cac8f79445e4603348</Application>
  <AppVersion>15.0000</AppVersion>
  <Pages>2</Pages>
  <Words>317</Words>
  <Characters>2298</Characters>
  <CharactersWithSpaces>2594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2023-03-16T09:51:00Z</dcterms:created>
  <dc:creator>home02</dc:creator>
  <dc:description/>
  <dc:language>ru-RU</dc:language>
  <cp:lastModifiedBy/>
  <dcterms:modified xsi:type="dcterms:W3CDTF">2023-05-09T21:54:25Z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