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«ТЯГОВЫЕ И ТРАНСФОРМАТОРНЫЕ ПОДСТАНЦИИ»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23.05.05 «Системы обеспечения движения поездов»;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Инженер путей сообщения;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 – «Электроснабжение железных дорог».</w:t>
      </w:r>
    </w:p>
    <w:p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«Тяговые и трансформаторные подстанции» (Б1.В.12) относится к части, формируемой участниками образовательных отношений блока 1 "Дисциплины" (модули).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является приобретение студентами знаний, умений, навыков, позволяющих им сформировать компетенции в области тяговых и трансформаторных подстанций, тягового электроснабжения систем обеспечения движения поездов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особенностей работы трехфазных электрических сетей в нормальных и аварийных режимах;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владение методами расчета токов короткого замыкания и выбора электрооборудования распределительных устройств;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приобретение навыков проектирования тяговых и трансформаторных подстанций;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основного электрооборудования, схемных, компановочных и конструктивных решений тяговых и трансформаторных подстанций.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ПК-1,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ПК-2,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ПК-3,</w:t>
      </w:r>
      <w:r>
        <w:rPr>
          <w:rFonts w:ascii="Times New Roman" w:hAnsi="Times New Roman"/>
          <w:sz w:val="24"/>
          <w:szCs w:val="24"/>
        </w:rPr>
        <w:t xml:space="preserve"> ПК-4.</w:t>
      </w: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pacing w:val="-2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Графики электрических нагрузок и их использование в эксплуатации и при проектировании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Style w:val="9"/>
                <w:b w:val="0"/>
                <w:sz w:val="24"/>
              </w:rPr>
              <w:t>Режимы работы нейтралей в распределительных устройствах тяговой подстанции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Причины возникновения, виды коротких замыканий и их последствия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Style w:val="9"/>
                <w:b w:val="0"/>
                <w:sz w:val="24"/>
              </w:rPr>
              <w:t>Физический процесс короткого замыкания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Style w:val="9"/>
                <w:b w:val="0"/>
                <w:sz w:val="24"/>
              </w:rPr>
              <w:t>Физический</w:t>
            </w:r>
            <w:r>
              <w:rPr>
                <w:rStyle w:val="9"/>
                <w:rFonts w:hint="default"/>
                <w:b w:val="0"/>
                <w:sz w:val="24"/>
                <w:lang w:val="en-US"/>
              </w:rPr>
              <w:t xml:space="preserve"> процесс короткого замыкания (продолжение)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Методы расчета токов при симметричных коротких замыканиях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Методы расчета токов при симметричных коротких замыканиях</w:t>
            </w:r>
            <w:r>
              <w:rPr>
                <w:rFonts w:hint="default" w:ascii="Times New Roman" w:hAnsi="Times New Roman" w:cs="Times New Roman"/>
                <w:b w:val="0"/>
                <w:sz w:val="24"/>
                <w:lang w:val="ru-RU"/>
              </w:rPr>
              <w:t xml:space="preserve"> (продолжение)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Расчётные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кривые и их использование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1"/>
              <w:ind w:firstLine="0" w:firstLineChars="0"/>
              <w:jc w:val="left"/>
              <w:rPr>
                <w:rFonts w:ascii="Arial" w:hAnsi="Arial" w:cs="Arial" w:eastAsiaTheme="minorHAnsi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Расчет токов несимметричных коротких замыканий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Сопротивления различных последовательностей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Термическое действие токов короткого замыкания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Динамическое действие токов короткого замыкания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1"/>
              <w:ind w:firstLine="0" w:firstLineChars="0"/>
              <w:jc w:val="left"/>
              <w:rPr>
                <w:rFonts w:ascii="Arial" w:hAnsi="Arial" w:cs="Arial" w:eastAsiaTheme="minorHAnsi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Ограничение токов короткого замыкания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Гашение электрических дуг в отключающих аппаратах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val="ru-RU"/>
              </w:rPr>
              <w:t>Тяговые и трансформаторные подстанции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12"/>
              <w:ind w:firstLine="0" w:firstLineChars="0"/>
              <w:jc w:val="left"/>
              <w:rPr>
                <w:rFonts w:ascii="Arial" w:hAnsi="Arial" w:eastAsia="Calibri" w:cs="Arial"/>
                <w:b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lang w:val="ru-RU"/>
              </w:rPr>
              <w:t>Силовое оборудование тяговых подстанций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Трансформаторы тока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Трансформаторы напряжения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Основные принципы устройства высоковольтных выключателей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Конструкция высок</w:t>
            </w:r>
            <w:bookmarkStart w:id="0" w:name="_GoBack"/>
            <w:bookmarkEnd w:id="0"/>
            <w:r>
              <w:t>овольтных коммутационных аппаратов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Разъединители, короткозамыкатели, отделител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lang w:val="ru-RU"/>
              </w:rPr>
              <w:t>Выключатели</w:t>
            </w:r>
            <w:r>
              <w:rPr>
                <w:rFonts w:hint="default"/>
                <w:lang w:val="ru-RU"/>
              </w:rPr>
              <w:t xml:space="preserve"> нагрузки. Привод электрических аппаратов.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rPr>
                <w:lang w:val="ru-RU"/>
              </w:rPr>
              <w:t>Ограничители</w:t>
            </w:r>
            <w:r>
              <w:rPr>
                <w:rFonts w:hint="default"/>
                <w:lang w:val="ru-RU"/>
              </w:rPr>
              <w:t xml:space="preserve"> перенапряжений , разрядники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Схемы главных и вспомогательных цепей тяговой подстанции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Системы шин распределительных устройств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Особенности схемы главной коммутации тяговой подстанции переменного тока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Особенности главной схемы коммутации тяговой подстанции постоянного тока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Собственные нужды тяговой подстанции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Компоновочные решения тяговых подстанций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704" w:type="dxa"/>
            <w:vAlign w:val="top"/>
          </w:tcPr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ind w:left="580" w:leftChars="0" w:firstLineChars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8641" w:type="dxa"/>
            <w:vAlign w:val="top"/>
          </w:tcPr>
          <w:p>
            <w:pPr>
              <w:pStyle w:val="6"/>
              <w:ind w:firstLine="0" w:firstLineChars="0"/>
              <w:rPr>
                <w:rFonts w:ascii="Times New Roman" w:hAnsi="Times New Roman" w:eastAsia="Times New Roman" w:cs="Times New Roman"/>
                <w:bCs/>
                <w:sz w:val="28"/>
                <w:szCs w:val="28"/>
                <w:vertAlign w:val="baseline"/>
                <w:lang w:val="ru-RU" w:eastAsia="en-US" w:bidi="ar-SA"/>
              </w:rPr>
            </w:pPr>
            <w:r>
              <w:t>Заземление устройств и аппаратов тяговой подстанции</w:t>
            </w:r>
          </w:p>
        </w:tc>
      </w:tr>
    </w:tbl>
    <w:p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зачётных</w:t>
      </w:r>
      <w:r>
        <w:rPr>
          <w:rFonts w:ascii="Times New Roman" w:hAnsi="Times New Roman"/>
          <w:sz w:val="24"/>
          <w:szCs w:val="24"/>
        </w:rPr>
        <w:t xml:space="preserve"> единиц (2</w:t>
      </w:r>
      <w:r>
        <w:rPr>
          <w:rFonts w:hint="default" w:ascii="Times New Roman" w:hAnsi="Times New Roman"/>
          <w:sz w:val="24"/>
          <w:szCs w:val="24"/>
          <w:lang w:val="ru-RU"/>
        </w:rPr>
        <w:t>52</w:t>
      </w:r>
      <w:r>
        <w:rPr>
          <w:rFonts w:ascii="Times New Roman" w:hAnsi="Times New Roman"/>
          <w:sz w:val="24"/>
          <w:szCs w:val="24"/>
        </w:rPr>
        <w:t xml:space="preserve"> часов), в том числе: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лекции – 6</w:t>
      </w:r>
      <w:r>
        <w:rPr>
          <w:rFonts w:hint="default"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 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0 </w:t>
      </w:r>
      <w:r>
        <w:rPr>
          <w:rFonts w:ascii="Times New Roman" w:hAnsi="Times New Roman"/>
          <w:sz w:val="24"/>
          <w:szCs w:val="24"/>
        </w:rPr>
        <w:t>часа;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1</w:t>
      </w:r>
      <w:r>
        <w:rPr>
          <w:rFonts w:hint="default"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40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экзамен,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курсовой проект, зач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</w:rPr>
        <w:t>т.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 часа;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8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 часов;</w:t>
      </w:r>
    </w:p>
    <w:p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экзамен, курсовой проект, зач</w:t>
      </w:r>
      <w:r>
        <w:rPr>
          <w:rFonts w:ascii="Times New Roman" w:hAnsi="Times New Roman"/>
          <w:sz w:val="24"/>
          <w:szCs w:val="24"/>
          <w:lang w:val="ru-RU"/>
        </w:rPr>
        <w:t>ё</w:t>
      </w:r>
      <w:r>
        <w:rPr>
          <w:rFonts w:ascii="Times New Roman" w:hAnsi="Times New Roman"/>
          <w:sz w:val="24"/>
          <w:szCs w:val="24"/>
        </w:rPr>
        <w:t>т.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DejaVu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339FE"/>
    <w:multiLevelType w:val="multilevel"/>
    <w:tmpl w:val="3E0339FE"/>
    <w:lvl w:ilvl="0" w:tentative="0">
      <w:start w:val="1"/>
      <w:numFmt w:val="decimal"/>
      <w:lvlText w:val="%1."/>
      <w:lvlJc w:val="center"/>
      <w:pPr>
        <w:ind w:left="58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14"/>
    <w:rsid w:val="004D63B5"/>
    <w:rsid w:val="005F1614"/>
    <w:rsid w:val="00CA70F1"/>
    <w:rsid w:val="00D349FA"/>
    <w:rsid w:val="00FA7ACF"/>
    <w:rsid w:val="2DBD6FBF"/>
    <w:rsid w:val="53541DE9"/>
    <w:rsid w:val="61B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qFormat/>
    <w:uiPriority w:val="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0">
    <w:name w:val="Подзаголовок1 Знак"/>
    <w:link w:val="11"/>
    <w:qFormat/>
    <w:locked/>
    <w:uiPriority w:val="0"/>
    <w:rPr>
      <w:rFonts w:ascii="Arial" w:hAnsi="Arial" w:cs="Arial"/>
      <w:b/>
      <w:sz w:val="28"/>
      <w:szCs w:val="24"/>
    </w:rPr>
  </w:style>
  <w:style w:type="paragraph" w:customStyle="1" w:styleId="11">
    <w:name w:val="Подзаголовок1"/>
    <w:basedOn w:val="1"/>
    <w:link w:val="10"/>
    <w:qFormat/>
    <w:uiPriority w:val="0"/>
    <w:pPr>
      <w:snapToGrid w:val="0"/>
      <w:spacing w:after="0" w:line="240" w:lineRule="auto"/>
      <w:jc w:val="center"/>
    </w:pPr>
    <w:rPr>
      <w:rFonts w:ascii="Arial" w:hAnsi="Arial" w:cs="Arial"/>
      <w:b/>
      <w:sz w:val="28"/>
      <w:szCs w:val="24"/>
    </w:rPr>
  </w:style>
  <w:style w:type="paragraph" w:customStyle="1" w:styleId="12">
    <w:name w:val="_Style 13"/>
    <w:basedOn w:val="1"/>
    <w:next w:val="4"/>
    <w:qFormat/>
    <w:uiPriority w:val="0"/>
    <w:pPr>
      <w:widowControl/>
      <w:snapToGrid w:val="0"/>
      <w:spacing w:line="240" w:lineRule="auto"/>
      <w:ind w:firstLine="0"/>
      <w:jc w:val="center"/>
    </w:pPr>
    <w:rPr>
      <w:rFonts w:ascii="Arial" w:hAnsi="Arial" w:eastAsia="Calibri" w:cs="Arial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2765</Characters>
  <Lines>23</Lines>
  <Paragraphs>6</Paragraphs>
  <TotalTime>4</TotalTime>
  <ScaleCrop>false</ScaleCrop>
  <LinksUpToDate>false</LinksUpToDate>
  <CharactersWithSpaces>3243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2022-08-31T14:16:00Z</dcterms:created>
  <dc:creator>ЭЛЛА</dc:creator>
  <cp:lastModifiedBy>VVS</cp:lastModifiedBy>
  <dcterms:modified xsi:type="dcterms:W3CDTF">2023-05-16T12:11:26Z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0F3F18A9CCF24639917762FC7835759B</vt:lpwstr>
  </property>
</Properties>
</file>