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99" w:rsidRPr="00D337F1" w:rsidRDefault="007D7999" w:rsidP="007D7999">
      <w:pPr>
        <w:spacing w:line="240" w:lineRule="auto"/>
        <w:jc w:val="center"/>
      </w:pPr>
      <w:r>
        <w:t>А</w:t>
      </w:r>
      <w:r w:rsidRPr="00D337F1">
        <w:t>ННОТАЦИЯ</w:t>
      </w:r>
    </w:p>
    <w:p w:rsidR="007D7999" w:rsidRPr="00D337F1" w:rsidRDefault="007D7999" w:rsidP="007D7999">
      <w:pPr>
        <w:spacing w:line="240" w:lineRule="auto"/>
        <w:jc w:val="center"/>
      </w:pPr>
      <w:r w:rsidRPr="00D337F1">
        <w:t>дисциплины</w:t>
      </w:r>
    </w:p>
    <w:p w:rsidR="007D7999" w:rsidRPr="00D337F1" w:rsidRDefault="007D7999" w:rsidP="007D7999">
      <w:pPr>
        <w:spacing w:line="240" w:lineRule="auto"/>
        <w:jc w:val="center"/>
      </w:pPr>
      <w:r w:rsidRPr="00D337F1">
        <w:t>Б</w:t>
      </w:r>
      <w:proofErr w:type="gramStart"/>
      <w:r w:rsidRPr="00D337F1">
        <w:t>1.В.</w:t>
      </w:r>
      <w:proofErr w:type="gramEnd"/>
      <w:r w:rsidRPr="00D337F1">
        <w:t>19</w:t>
      </w:r>
      <w:r>
        <w:t xml:space="preserve"> </w:t>
      </w:r>
      <w:r w:rsidRPr="00D337F1">
        <w:t>«Строительство   мостов»</w:t>
      </w:r>
    </w:p>
    <w:p w:rsidR="007D7999" w:rsidRPr="006C7276" w:rsidRDefault="007D7999" w:rsidP="007D7999">
      <w:pPr>
        <w:spacing w:line="240" w:lineRule="auto"/>
        <w:ind w:firstLine="709"/>
        <w:contextualSpacing/>
        <w:jc w:val="both"/>
      </w:pPr>
      <w:r w:rsidRPr="006C7276">
        <w:t>Специальность – 23.05.06 «Строительство железных дорог, мостов и транспортных тоннелей»</w:t>
      </w:r>
    </w:p>
    <w:p w:rsidR="007D7999" w:rsidRPr="006C7276" w:rsidRDefault="007D7999" w:rsidP="007D7999">
      <w:pPr>
        <w:spacing w:line="240" w:lineRule="auto"/>
        <w:ind w:firstLine="709"/>
        <w:contextualSpacing/>
        <w:jc w:val="both"/>
      </w:pPr>
      <w:r w:rsidRPr="006C7276">
        <w:t>Квалификация (степень) выпускника – инженер путей сообщения</w:t>
      </w:r>
    </w:p>
    <w:p w:rsidR="007D7999" w:rsidRPr="006C7276" w:rsidRDefault="007D7999" w:rsidP="007D7999">
      <w:pPr>
        <w:spacing w:line="240" w:lineRule="auto"/>
        <w:ind w:firstLine="709"/>
        <w:contextualSpacing/>
        <w:jc w:val="both"/>
      </w:pPr>
      <w:r w:rsidRPr="006C7276">
        <w:t>Специализация – «Мосты»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  <w:rPr>
          <w:b/>
          <w:bCs/>
        </w:rPr>
      </w:pPr>
      <w:r w:rsidRPr="006C7276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7D7999" w:rsidRPr="006C7276" w:rsidRDefault="007D7999" w:rsidP="007D7999">
      <w:pPr>
        <w:spacing w:line="240" w:lineRule="auto"/>
        <w:ind w:firstLine="709"/>
        <w:contextualSpacing/>
        <w:jc w:val="both"/>
      </w:pPr>
      <w:r w:rsidRPr="006C7276">
        <w:t>Дисциплина «Строительство мостов» (Б</w:t>
      </w:r>
      <w:proofErr w:type="gramStart"/>
      <w:r w:rsidRPr="006C7276">
        <w:t>1.В.</w:t>
      </w:r>
      <w:proofErr w:type="gramEnd"/>
      <w:r w:rsidRPr="006C7276">
        <w:t>19) относится к части, формируемой участниками образовательных отношений.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  <w:rPr>
          <w:b/>
          <w:bCs/>
        </w:rPr>
      </w:pPr>
      <w:r w:rsidRPr="006C7276">
        <w:rPr>
          <w:b/>
          <w:bCs/>
        </w:rPr>
        <w:t>2. Цели дисциплины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  <w:rPr>
          <w:lang w:eastAsia="ru-RU"/>
        </w:rPr>
      </w:pPr>
      <w:r w:rsidRPr="006C7276">
        <w:rPr>
          <w:lang w:eastAsia="ru-RU"/>
        </w:rPr>
        <w:t>Целями изучения дисциплины «</w:t>
      </w:r>
      <w:proofErr w:type="gramStart"/>
      <w:r w:rsidRPr="006C7276">
        <w:rPr>
          <w:lang w:eastAsia="ru-RU"/>
        </w:rPr>
        <w:t>СТРОИТЕЛЬСТВО  МОСТОВ</w:t>
      </w:r>
      <w:proofErr w:type="gramEnd"/>
      <w:r w:rsidRPr="006C7276">
        <w:rPr>
          <w:lang w:eastAsia="ru-RU"/>
        </w:rPr>
        <w:t>» являются:</w:t>
      </w:r>
    </w:p>
    <w:p w:rsidR="007D7999" w:rsidRPr="006C7276" w:rsidRDefault="007D7999" w:rsidP="007D7999">
      <w:pPr>
        <w:pStyle w:val="a4"/>
        <w:numPr>
          <w:ilvl w:val="0"/>
          <w:numId w:val="1"/>
        </w:numPr>
        <w:spacing w:line="240" w:lineRule="auto"/>
        <w:ind w:left="0" w:firstLine="709"/>
        <w:contextualSpacing/>
        <w:jc w:val="both"/>
      </w:pPr>
      <w:r w:rsidRPr="006C7276">
        <w:rPr>
          <w:shd w:val="clear" w:color="auto" w:fill="FFFFFF"/>
          <w:lang w:eastAsia="ja-JP"/>
        </w:rPr>
        <w:t xml:space="preserve">приобретение совокупности знаний, умений и навыков для применения их в сфере профессиональной деятельности по проведению необходимых работ, обеспечивающих решение вопросов технологии строительства мостовых сооружений на железных дорогах, реализации </w:t>
      </w:r>
      <w:r w:rsidRPr="006C7276">
        <w:t xml:space="preserve">процессов их строительства; </w:t>
      </w:r>
    </w:p>
    <w:p w:rsidR="007D7999" w:rsidRPr="006C7276" w:rsidRDefault="007D7999" w:rsidP="007D7999">
      <w:pPr>
        <w:pStyle w:val="a4"/>
        <w:numPr>
          <w:ilvl w:val="0"/>
          <w:numId w:val="1"/>
        </w:numPr>
        <w:spacing w:line="240" w:lineRule="auto"/>
        <w:ind w:left="0" w:firstLine="709"/>
        <w:contextualSpacing/>
        <w:jc w:val="both"/>
      </w:pPr>
      <w:r w:rsidRPr="006C7276">
        <w:rPr>
          <w:shd w:val="clear" w:color="auto" w:fill="FFFFFF"/>
          <w:lang w:eastAsia="ja-JP"/>
        </w:rPr>
        <w:t>приобретение знаний о нормативных документах, регламентирующих строительство мостовых сооружений;</w:t>
      </w:r>
    </w:p>
    <w:p w:rsidR="007D7999" w:rsidRPr="006C7276" w:rsidRDefault="007D7999" w:rsidP="007D7999">
      <w:pPr>
        <w:pStyle w:val="a4"/>
        <w:numPr>
          <w:ilvl w:val="0"/>
          <w:numId w:val="1"/>
        </w:numPr>
        <w:spacing w:line="240" w:lineRule="auto"/>
        <w:ind w:left="0" w:firstLine="709"/>
        <w:contextualSpacing/>
        <w:jc w:val="both"/>
      </w:pPr>
      <w:r w:rsidRPr="006C7276">
        <w:rPr>
          <w:shd w:val="clear" w:color="auto" w:fill="FFFFFF"/>
          <w:lang w:eastAsia="ja-JP"/>
        </w:rPr>
        <w:t>приобретение знаний о требованиях законодательства Российской Федерации и технической документации в сфере организации строительного производства и к порядку проведения и технологии производства строительно-монтажных работ.</w:t>
      </w:r>
    </w:p>
    <w:p w:rsidR="007D7999" w:rsidRPr="006C7276" w:rsidRDefault="007D7999" w:rsidP="007D799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</w:pPr>
      <w:r w:rsidRPr="006C7276">
        <w:rPr>
          <w:shd w:val="clear" w:color="auto" w:fill="FFFFFF"/>
          <w:lang w:eastAsia="ja-JP"/>
        </w:rPr>
        <w:tab/>
      </w:r>
      <w:r w:rsidRPr="006C7276">
        <w:t>Для достижения поставленных целей решаются следующие задачи:</w:t>
      </w:r>
    </w:p>
    <w:p w:rsidR="007D7999" w:rsidRPr="006C7276" w:rsidRDefault="007D7999" w:rsidP="007D799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</w:pPr>
      <w:r w:rsidRPr="006C7276">
        <w:t xml:space="preserve">рассмотрение вопросов сбора, систематизации и анализа информационных исходных данных, необходимых для осуществления процессов строительства мостовых сооружений на железных дорогах; </w:t>
      </w:r>
    </w:p>
    <w:p w:rsidR="007D7999" w:rsidRPr="006C7276" w:rsidRDefault="007D7999" w:rsidP="007D7999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color w:val="FF0000"/>
        </w:rPr>
      </w:pPr>
      <w:r w:rsidRPr="006C7276">
        <w:t>-</w:t>
      </w:r>
      <w:r w:rsidRPr="006C7276">
        <w:tab/>
        <w:t>изучение технологии производства различных видов строительных работ, в том числе на мостовых сооружениях как опасных, технически сложных и уникальных объектах капитального строительства</w:t>
      </w:r>
      <w:r w:rsidRPr="006C7276">
        <w:rPr>
          <w:color w:val="FF0000"/>
        </w:rPr>
        <w:t xml:space="preserve"> </w:t>
      </w:r>
    </w:p>
    <w:p w:rsidR="007D7999" w:rsidRPr="006C7276" w:rsidRDefault="007D7999" w:rsidP="007D7999">
      <w:pPr>
        <w:tabs>
          <w:tab w:val="left" w:pos="0"/>
        </w:tabs>
        <w:spacing w:after="0" w:line="240" w:lineRule="auto"/>
        <w:ind w:firstLine="709"/>
        <w:contextualSpacing/>
        <w:jc w:val="both"/>
      </w:pPr>
      <w:r w:rsidRPr="006C7276">
        <w:t>-     изучение негативного воздействия на окружающую среду при проведении различных видов строительных работ и методы их минимизации;</w:t>
      </w:r>
    </w:p>
    <w:p w:rsidR="007D7999" w:rsidRPr="006C7276" w:rsidRDefault="007D7999" w:rsidP="007D7999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</w:pPr>
      <w:r w:rsidRPr="006C7276">
        <w:t>рассмотрение общих вопросов строительства мостовых сооружений; технико-экономическое обоснование и принятие оптимальных решений;</w:t>
      </w:r>
    </w:p>
    <w:p w:rsidR="007D7999" w:rsidRPr="006C7276" w:rsidRDefault="007D7999" w:rsidP="007D7999">
      <w:pPr>
        <w:spacing w:line="240" w:lineRule="auto"/>
        <w:ind w:firstLine="709"/>
        <w:contextualSpacing/>
        <w:jc w:val="both"/>
      </w:pPr>
      <w:r w:rsidRPr="006C7276">
        <w:t>– ознакомление со способами организации строительства мостов в тесной взаимосвязи с направлениями научно-технического прогресса в области искусственных сооружений, организации и технологии их возведения;</w:t>
      </w:r>
    </w:p>
    <w:p w:rsidR="007D7999" w:rsidRPr="006C7276" w:rsidRDefault="007D7999" w:rsidP="007D7999">
      <w:pPr>
        <w:spacing w:line="240" w:lineRule="auto"/>
        <w:ind w:firstLine="709"/>
        <w:contextualSpacing/>
        <w:jc w:val="both"/>
      </w:pPr>
      <w:r w:rsidRPr="006C7276">
        <w:t>– развитие у обучающихся практических навыков по определению потребности строительства на участке строительства в материально-технических ресурсах;</w:t>
      </w:r>
    </w:p>
    <w:p w:rsidR="007D7999" w:rsidRPr="006C7276" w:rsidRDefault="007D7999" w:rsidP="007D7999">
      <w:pPr>
        <w:widowControl w:val="0"/>
        <w:spacing w:line="240" w:lineRule="auto"/>
        <w:ind w:firstLine="709"/>
        <w:contextualSpacing/>
        <w:jc w:val="both"/>
      </w:pPr>
      <w:r w:rsidRPr="006C7276">
        <w:rPr>
          <w:b/>
        </w:rPr>
        <w:t xml:space="preserve">-  </w:t>
      </w:r>
      <w:r w:rsidRPr="006C7276">
        <w:t>изучение</w:t>
      </w:r>
      <w:r w:rsidRPr="006C7276">
        <w:rPr>
          <w:b/>
        </w:rPr>
        <w:t xml:space="preserve"> </w:t>
      </w:r>
      <w:r w:rsidRPr="006C7276">
        <w:t>технологии производства строительных работ, методы определения видов и объемов строительных работ и производственных заданий, включая правила ведения исполнительной и учетной документации строительного производства;</w:t>
      </w:r>
    </w:p>
    <w:p w:rsidR="007D7999" w:rsidRPr="006C7276" w:rsidRDefault="007D7999" w:rsidP="007D7999">
      <w:pPr>
        <w:widowControl w:val="0"/>
        <w:spacing w:line="240" w:lineRule="auto"/>
        <w:ind w:firstLine="709"/>
        <w:contextualSpacing/>
        <w:jc w:val="both"/>
      </w:pPr>
      <w:r w:rsidRPr="006C7276">
        <w:t>- изучение требований законодательства Российской Федерации к производству строительных работ;</w:t>
      </w:r>
    </w:p>
    <w:p w:rsidR="007D7999" w:rsidRPr="006C7276" w:rsidRDefault="007D7999" w:rsidP="007D7999">
      <w:pPr>
        <w:widowControl w:val="0"/>
        <w:spacing w:line="240" w:lineRule="auto"/>
        <w:ind w:firstLine="709"/>
        <w:contextualSpacing/>
        <w:jc w:val="both"/>
      </w:pPr>
      <w:r w:rsidRPr="006C7276">
        <w:t>- изучение правил осуществления работ и мероприятий строительного контроля с учетом требований технической документации к порядку приемки скрытых работ и строительных конструкций, влияющих на безопасность объекта капитального строительства;</w:t>
      </w:r>
    </w:p>
    <w:p w:rsidR="007D7999" w:rsidRPr="006C7276" w:rsidRDefault="007D7999" w:rsidP="007D7999">
      <w:pPr>
        <w:spacing w:line="240" w:lineRule="auto"/>
        <w:ind w:firstLine="709"/>
        <w:contextualSpacing/>
        <w:jc w:val="both"/>
      </w:pPr>
      <w:r w:rsidRPr="006C7276">
        <w:lastRenderedPageBreak/>
        <w:t>- изучение средств и методов контроля соблюдения технологических процессов и результатов строительных работ, порядка и методы устранения выявленных дефектов строительных работ, правила ведения исполнительной, учетной и отчетной документации</w:t>
      </w:r>
    </w:p>
    <w:p w:rsidR="007D7999" w:rsidRPr="006C7276" w:rsidRDefault="007D7999" w:rsidP="007D7999">
      <w:pPr>
        <w:spacing w:line="240" w:lineRule="auto"/>
        <w:ind w:firstLine="709"/>
        <w:contextualSpacing/>
        <w:jc w:val="both"/>
      </w:pPr>
      <w:r w:rsidRPr="006C7276">
        <w:rPr>
          <w:b/>
          <w:bCs/>
        </w:rPr>
        <w:t>3. Перечень планируемых результатов обучения по дисциплине</w:t>
      </w:r>
    </w:p>
    <w:p w:rsidR="007D7999" w:rsidRPr="006C7276" w:rsidRDefault="007D7999" w:rsidP="007D7999">
      <w:pPr>
        <w:spacing w:line="240" w:lineRule="auto"/>
        <w:ind w:firstLine="709"/>
        <w:contextualSpacing/>
        <w:jc w:val="both"/>
      </w:pPr>
      <w:r w:rsidRPr="006C7276">
        <w:t xml:space="preserve">Изучение дисциплины направлено на формирование следующих компетенций, </w:t>
      </w:r>
      <w:proofErr w:type="spellStart"/>
      <w:r w:rsidRPr="006C7276">
        <w:t>сформированность</w:t>
      </w:r>
      <w:proofErr w:type="spellEnd"/>
      <w:r w:rsidRPr="006C7276">
        <w:t xml:space="preserve"> которых оценивается с помощью индикаторов достижения компетенций: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7D7999" w:rsidRPr="006C7276" w:rsidTr="00982FA8">
        <w:tc>
          <w:tcPr>
            <w:tcW w:w="4785" w:type="dxa"/>
          </w:tcPr>
          <w:p w:rsidR="007D7999" w:rsidRPr="006C7276" w:rsidRDefault="007D7999" w:rsidP="00982FA8">
            <w:pPr>
              <w:ind w:firstLine="709"/>
              <w:contextualSpacing/>
              <w:jc w:val="both"/>
            </w:pPr>
            <w:r w:rsidRPr="006C7276">
              <w:rPr>
                <w:b/>
                <w:bCs/>
              </w:rPr>
              <w:t>Индикаторы достижения  компетенций</w:t>
            </w:r>
          </w:p>
        </w:tc>
        <w:tc>
          <w:tcPr>
            <w:tcW w:w="4785" w:type="dxa"/>
          </w:tcPr>
          <w:p w:rsidR="007D7999" w:rsidRPr="006C7276" w:rsidRDefault="007D7999" w:rsidP="00982FA8">
            <w:pPr>
              <w:ind w:firstLine="709"/>
              <w:contextualSpacing/>
              <w:jc w:val="both"/>
            </w:pPr>
            <w:r w:rsidRPr="006C7276">
              <w:rPr>
                <w:b/>
                <w:bCs/>
              </w:rPr>
              <w:t>Результаты обучения по дисциплине (модулю)</w:t>
            </w:r>
          </w:p>
        </w:tc>
      </w:tr>
      <w:tr w:rsidR="007D7999" w:rsidRPr="006C7276" w:rsidTr="00982FA8">
        <w:tc>
          <w:tcPr>
            <w:tcW w:w="4785" w:type="dxa"/>
          </w:tcPr>
          <w:p w:rsidR="007D7999" w:rsidRPr="006C7276" w:rsidRDefault="007D7999" w:rsidP="00982FA8">
            <w:pPr>
              <w:contextualSpacing/>
              <w:jc w:val="both"/>
            </w:pPr>
            <w:r w:rsidRPr="006C7276">
              <w:rPr>
                <w:b/>
              </w:rPr>
              <w:t>ПК-3 Организация строительного производства на участке строительства объектов капитального строительства</w:t>
            </w:r>
          </w:p>
        </w:tc>
        <w:tc>
          <w:tcPr>
            <w:tcW w:w="4785" w:type="dxa"/>
          </w:tcPr>
          <w:p w:rsidR="007D7999" w:rsidRPr="006C7276" w:rsidRDefault="007D7999" w:rsidP="00982FA8">
            <w:pPr>
              <w:widowControl w:val="0"/>
              <w:contextualSpacing/>
              <w:jc w:val="both"/>
            </w:pPr>
            <w:r w:rsidRPr="006C7276">
              <w:rPr>
                <w:b/>
              </w:rPr>
              <w:t xml:space="preserve">ПК-3.1.1 Знает </w:t>
            </w:r>
            <w:r w:rsidRPr="006C7276">
              <w:t xml:space="preserve">требования законодательства Российской Федерации в </w:t>
            </w:r>
            <w:r>
              <w:t>сфере т</w:t>
            </w:r>
            <w:r w:rsidRPr="006C7276">
              <w:t>ехнического регулирования, организации строительного производства, ведения</w:t>
            </w:r>
            <w:r>
              <w:t xml:space="preserve"> </w:t>
            </w:r>
            <w:r w:rsidRPr="006C7276">
              <w:t>технической документации, определения порядка и технологии производства строительных работ, включая обустройство и подготовку строительных площадок; оформление разрешений и допусков</w:t>
            </w:r>
          </w:p>
          <w:p w:rsidR="007D7999" w:rsidRPr="006C7276" w:rsidRDefault="007D7999" w:rsidP="00982FA8">
            <w:pPr>
              <w:widowControl w:val="0"/>
              <w:contextualSpacing/>
              <w:jc w:val="both"/>
            </w:pPr>
            <w:r w:rsidRPr="006C7276">
              <w:rPr>
                <w:b/>
              </w:rPr>
              <w:t xml:space="preserve">ПК-3.1.2 Знает </w:t>
            </w:r>
            <w:r w:rsidRPr="006C7276">
              <w:t>технологии производства различных видов строительных работ, методы определения объёмов работ и производственных заданий</w:t>
            </w:r>
            <w:r w:rsidRPr="006C7276">
              <w:rPr>
                <w:b/>
              </w:rPr>
              <w:t>.</w:t>
            </w:r>
          </w:p>
          <w:p w:rsidR="007D7999" w:rsidRPr="006C7276" w:rsidRDefault="007D7999" w:rsidP="00982FA8">
            <w:pPr>
              <w:widowControl w:val="0"/>
              <w:contextualSpacing/>
              <w:jc w:val="both"/>
            </w:pPr>
            <w:r w:rsidRPr="006C7276">
              <w:t>ПК-</w:t>
            </w:r>
            <w:r w:rsidRPr="006C7276">
              <w:rPr>
                <w:b/>
              </w:rPr>
              <w:t>3.3.3</w:t>
            </w:r>
            <w:r w:rsidRPr="006C7276">
              <w:t xml:space="preserve"> </w:t>
            </w:r>
            <w:r w:rsidRPr="006C7276">
              <w:rPr>
                <w:b/>
              </w:rPr>
              <w:t xml:space="preserve">Владеет </w:t>
            </w:r>
            <w:r w:rsidRPr="006C7276">
              <w:t>методикой разработки проекта организации строительства мостового</w:t>
            </w:r>
            <w:r>
              <w:t xml:space="preserve"> </w:t>
            </w:r>
            <w:r w:rsidRPr="006C7276">
              <w:t>перехода, временных зданий, специальных сооружений и устройств</w:t>
            </w:r>
          </w:p>
        </w:tc>
      </w:tr>
      <w:tr w:rsidR="007D7999" w:rsidRPr="006C7276" w:rsidTr="00982FA8">
        <w:tc>
          <w:tcPr>
            <w:tcW w:w="4785" w:type="dxa"/>
          </w:tcPr>
          <w:p w:rsidR="007D7999" w:rsidRPr="006C7276" w:rsidRDefault="007D7999" w:rsidP="00982FA8">
            <w:pPr>
              <w:contextualSpacing/>
              <w:jc w:val="both"/>
            </w:pPr>
            <w:r w:rsidRPr="006C7276">
              <w:rPr>
                <w:b/>
              </w:rPr>
              <w:t>ПК-2 Осуществление авторского надзора при строительстве, капитальном ремонте и реконструкции мостовых сооружений</w:t>
            </w:r>
            <w:r w:rsidRPr="006C7276">
              <w:rPr>
                <w:b/>
                <w:bCs/>
              </w:rPr>
              <w:t xml:space="preserve"> </w:t>
            </w:r>
          </w:p>
        </w:tc>
        <w:tc>
          <w:tcPr>
            <w:tcW w:w="4785" w:type="dxa"/>
          </w:tcPr>
          <w:p w:rsidR="007D7999" w:rsidRPr="006C7276" w:rsidRDefault="007D7999" w:rsidP="00982FA8">
            <w:pPr>
              <w:contextualSpacing/>
              <w:jc w:val="both"/>
            </w:pPr>
            <w:r w:rsidRPr="006C7276">
              <w:rPr>
                <w:b/>
              </w:rPr>
              <w:t>ПК-2.2.1 Умеет</w:t>
            </w:r>
            <w:r w:rsidRPr="006C7276">
              <w:t xml:space="preserve"> организовывать и проводить работу по авторскому надзору при строительстве, капитальном ремонте и реконструкции мостовых сооружений, применять требования руководящих, нормативно-технических, методических документов и нормативных правовых актов, регламентирующих процесс авторского</w:t>
            </w:r>
            <w:r>
              <w:t xml:space="preserve"> </w:t>
            </w:r>
            <w:r w:rsidRPr="006C7276">
              <w:t>надзора</w:t>
            </w:r>
          </w:p>
          <w:p w:rsidR="007D7999" w:rsidRPr="006C7276" w:rsidRDefault="007D7999" w:rsidP="00982FA8">
            <w:pPr>
              <w:contextualSpacing/>
              <w:jc w:val="both"/>
            </w:pPr>
            <w:r w:rsidRPr="006C7276">
              <w:rPr>
                <w:b/>
              </w:rPr>
              <w:t>ПК-2.2.2 Умеет</w:t>
            </w:r>
            <w:r w:rsidRPr="006C7276">
              <w:t xml:space="preserve"> оценивать соблюдение утвержденных проектных решений по мостовым сооружениям, формировать необходимую документацию о ходе и результатах авторского надзора за строительством, капитальным ремонтом и </w:t>
            </w:r>
          </w:p>
          <w:p w:rsidR="007D7999" w:rsidRPr="006C7276" w:rsidRDefault="007D7999" w:rsidP="00982FA8">
            <w:pPr>
              <w:contextualSpacing/>
              <w:jc w:val="both"/>
            </w:pPr>
            <w:r w:rsidRPr="006C7276">
              <w:t>реконструкцией мостовых сооружений</w:t>
            </w:r>
          </w:p>
          <w:p w:rsidR="007D7999" w:rsidRDefault="007D7999" w:rsidP="00982FA8">
            <w:pPr>
              <w:contextualSpacing/>
              <w:jc w:val="both"/>
            </w:pPr>
            <w:r w:rsidRPr="006C7276">
              <w:rPr>
                <w:b/>
              </w:rPr>
              <w:t>ПК-2.2.3 Умеет</w:t>
            </w:r>
            <w:r w:rsidRPr="006C7276">
              <w:t xml:space="preserve"> выбирать и обосновывать оптимальные средства и методы устранения нарушений и отклонений, выявленных в процессе авторского надзора при строительстве, капитальном ремонте и реконструкции мостовых сооружений</w:t>
            </w:r>
          </w:p>
          <w:p w:rsidR="007D7999" w:rsidRPr="006C7276" w:rsidRDefault="007D7999" w:rsidP="00982FA8">
            <w:pPr>
              <w:contextualSpacing/>
              <w:jc w:val="both"/>
            </w:pPr>
          </w:p>
        </w:tc>
      </w:tr>
    </w:tbl>
    <w:p w:rsidR="007D7999" w:rsidRPr="006C7276" w:rsidRDefault="007D7999" w:rsidP="007D7999">
      <w:pPr>
        <w:widowControl w:val="0"/>
        <w:spacing w:line="240" w:lineRule="auto"/>
        <w:contextualSpacing/>
        <w:jc w:val="both"/>
      </w:pPr>
      <w:r w:rsidRPr="006C7276">
        <w:tab/>
        <w:t xml:space="preserve">В рамках изучения дисциплины осуществляется практическая подготовка обучающихся к будущей профессиональной деятельности. Результатом обучения по </w:t>
      </w:r>
      <w:r w:rsidRPr="006C7276">
        <w:lastRenderedPageBreak/>
        <w:t>дисциплине является формирование у обучающихся практических навыков</w:t>
      </w:r>
      <w:r>
        <w:t>:</w:t>
      </w:r>
      <w:r w:rsidRPr="006C7276">
        <w:t xml:space="preserve"> </w:t>
      </w:r>
    </w:p>
    <w:p w:rsidR="007D7999" w:rsidRPr="006C7276" w:rsidRDefault="007D7999" w:rsidP="007D7999">
      <w:pPr>
        <w:widowControl w:val="0"/>
        <w:spacing w:line="240" w:lineRule="auto"/>
        <w:ind w:firstLine="709"/>
        <w:contextualSpacing/>
        <w:jc w:val="both"/>
      </w:pPr>
      <w:r w:rsidRPr="006C7276">
        <w:t>-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механизмов, планирование поставки и контроль за их распределением, хранением и расходованием,</w:t>
      </w:r>
    </w:p>
    <w:p w:rsidR="007D7999" w:rsidRPr="006C7276" w:rsidRDefault="007D7999" w:rsidP="007D7999">
      <w:pPr>
        <w:widowControl w:val="0"/>
        <w:spacing w:line="240" w:lineRule="auto"/>
        <w:ind w:firstLine="709"/>
        <w:contextualSpacing/>
        <w:jc w:val="both"/>
      </w:pPr>
      <w:r w:rsidRPr="006C7276">
        <w:t>- осуществления входного контроля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сети, а также контроля расходования средств на материально-техническое обеспечение строительного производства,</w:t>
      </w:r>
    </w:p>
    <w:p w:rsidR="007D7999" w:rsidRPr="006C7276" w:rsidRDefault="007D7999" w:rsidP="007D7999">
      <w:pPr>
        <w:widowControl w:val="0"/>
        <w:spacing w:line="240" w:lineRule="auto"/>
        <w:ind w:firstLine="709"/>
        <w:contextualSpacing/>
        <w:jc w:val="both"/>
      </w:pPr>
      <w:r w:rsidRPr="006C7276">
        <w:t>- координации процессов строительного производства на участке строительства.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  <w:rPr>
          <w:b/>
          <w:bCs/>
        </w:rPr>
      </w:pPr>
      <w:r w:rsidRPr="006C7276">
        <w:rPr>
          <w:b/>
          <w:bCs/>
        </w:rPr>
        <w:t>4. Содержание и структура дисциплины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Процессы строительства объектов капитального строительства. Нормативные документы при строительстве мостов. Сооружение опор мостовых сооружений</w:t>
      </w:r>
      <w:r>
        <w:t>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Технологии производства строительных работ. Сооружение железобетонных пролётных строений</w:t>
      </w:r>
      <w:r>
        <w:t>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  <w:rPr>
          <w:b/>
          <w:bCs/>
        </w:rPr>
      </w:pPr>
      <w:r w:rsidRPr="006C7276">
        <w:t>Технологии производства строительно-монтажных работ.  Монтаж металлических пролетных строений</w:t>
      </w:r>
      <w:r>
        <w:t>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  <w:rPr>
          <w:b/>
          <w:bCs/>
        </w:rPr>
      </w:pP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  <w:rPr>
          <w:b/>
          <w:bCs/>
        </w:rPr>
      </w:pPr>
      <w:r w:rsidRPr="006C7276">
        <w:rPr>
          <w:b/>
          <w:bCs/>
        </w:rPr>
        <w:t>5. Объем дисциплины и виды учебной работы</w:t>
      </w:r>
    </w:p>
    <w:p w:rsidR="007D7999" w:rsidRPr="006C7276" w:rsidRDefault="007D7999" w:rsidP="007D7999">
      <w:pPr>
        <w:pStyle w:val="a4"/>
        <w:spacing w:after="0" w:line="240" w:lineRule="auto"/>
        <w:ind w:left="1429"/>
        <w:contextualSpacing/>
        <w:jc w:val="both"/>
      </w:pPr>
      <w:r w:rsidRPr="006C7276">
        <w:t>Для очной формы обучения: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Объем дисциплины – 5 зачетных единиц (180 час.), в том числе: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лекции – 32 час.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практические занятия – 32 час.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самостоятельная работа – 80 час.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контроль – 36 час.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Форма контроля знаний – курсовой проект, экзамен.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 xml:space="preserve">    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ab/>
        <w:t>Для заочной формы обучения: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Объем дисциплины – 5 зачетных единиц (180 час.), в том числе: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лекции – 18 час.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практические занятия – 18 час.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самостоятельная работа – 35 час.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контроль – 9 час.</w:t>
      </w:r>
    </w:p>
    <w:p w:rsidR="007D7999" w:rsidRPr="006C7276" w:rsidRDefault="007D7999" w:rsidP="007D7999">
      <w:pPr>
        <w:spacing w:after="0" w:line="240" w:lineRule="auto"/>
        <w:ind w:firstLine="709"/>
        <w:contextualSpacing/>
        <w:jc w:val="both"/>
      </w:pPr>
      <w:r w:rsidRPr="006C7276">
        <w:t>Форма контроля знаний – курсовой проект, экзамен</w:t>
      </w:r>
    </w:p>
    <w:p w:rsidR="00734A80" w:rsidRPr="0060702D" w:rsidRDefault="00734A80" w:rsidP="0060702D">
      <w:bookmarkStart w:id="0" w:name="_GoBack"/>
      <w:bookmarkEnd w:id="0"/>
    </w:p>
    <w:sectPr w:rsidR="00734A80" w:rsidRPr="0060702D" w:rsidSect="00BD420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5E"/>
    <w:multiLevelType w:val="hybridMultilevel"/>
    <w:tmpl w:val="DB060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D904B1"/>
    <w:multiLevelType w:val="hybridMultilevel"/>
    <w:tmpl w:val="6E1CC346"/>
    <w:lvl w:ilvl="0" w:tplc="17404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" w15:restartNumberingAfterBreak="0">
    <w:nsid w:val="09EF42F0"/>
    <w:multiLevelType w:val="hybridMultilevel"/>
    <w:tmpl w:val="4C7A32A4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744C"/>
    <w:multiLevelType w:val="hybridMultilevel"/>
    <w:tmpl w:val="D234B49C"/>
    <w:lvl w:ilvl="0" w:tplc="E878ECE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233EE"/>
    <w:multiLevelType w:val="hybridMultilevel"/>
    <w:tmpl w:val="CA8CEC32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E3906"/>
    <w:multiLevelType w:val="hybridMultilevel"/>
    <w:tmpl w:val="CC9C1DB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E9614E"/>
    <w:multiLevelType w:val="hybridMultilevel"/>
    <w:tmpl w:val="6958F29E"/>
    <w:lvl w:ilvl="0" w:tplc="E878EC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 w15:restartNumberingAfterBreak="0">
    <w:nsid w:val="25BE2744"/>
    <w:multiLevelType w:val="hybridMultilevel"/>
    <w:tmpl w:val="36D285A8"/>
    <w:lvl w:ilvl="0" w:tplc="E878EC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637D"/>
    <w:multiLevelType w:val="hybridMultilevel"/>
    <w:tmpl w:val="0114B97E"/>
    <w:lvl w:ilvl="0" w:tplc="E878ECEC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544FB"/>
    <w:multiLevelType w:val="hybridMultilevel"/>
    <w:tmpl w:val="4740EA9E"/>
    <w:lvl w:ilvl="0" w:tplc="3564B188">
      <w:start w:val="1"/>
      <w:numFmt w:val="bullet"/>
      <w:lvlText w:val=""/>
      <w:lvlJc w:val="left"/>
      <w:pPr>
        <w:ind w:left="121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3F0A1BB2"/>
    <w:multiLevelType w:val="hybridMultilevel"/>
    <w:tmpl w:val="EBF011EA"/>
    <w:lvl w:ilvl="0" w:tplc="7BF4D982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9336712"/>
    <w:multiLevelType w:val="hybridMultilevel"/>
    <w:tmpl w:val="C2302E66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8" w15:restartNumberingAfterBreak="0">
    <w:nsid w:val="56E5616D"/>
    <w:multiLevelType w:val="hybridMultilevel"/>
    <w:tmpl w:val="D39A5286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159D0"/>
    <w:multiLevelType w:val="hybridMultilevel"/>
    <w:tmpl w:val="9DE4DED8"/>
    <w:lvl w:ilvl="0" w:tplc="5F62C71A">
      <w:start w:val="1"/>
      <w:numFmt w:val="bullet"/>
      <w:lvlText w:val=""/>
      <w:lvlJc w:val="left"/>
      <w:pPr>
        <w:ind w:left="2291" w:hanging="360"/>
      </w:pPr>
      <w:rPr>
        <w:rFonts w:ascii="Symbol" w:hAnsi="Symbol" w:cs="Symbol" w:hint="default"/>
      </w:rPr>
    </w:lvl>
    <w:lvl w:ilvl="1" w:tplc="5F62C71A">
      <w:start w:val="1"/>
      <w:numFmt w:val="bullet"/>
      <w:lvlText w:val=""/>
      <w:lvlJc w:val="left"/>
      <w:pPr>
        <w:ind w:left="2291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B022B29"/>
    <w:multiLevelType w:val="hybridMultilevel"/>
    <w:tmpl w:val="E4426342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B17B47"/>
    <w:multiLevelType w:val="hybridMultilevel"/>
    <w:tmpl w:val="305C91D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35AC3"/>
    <w:multiLevelType w:val="hybridMultilevel"/>
    <w:tmpl w:val="474A2DB6"/>
    <w:lvl w:ilvl="0" w:tplc="5F62C71A">
      <w:start w:val="1"/>
      <w:numFmt w:val="bullet"/>
      <w:lvlText w:val=""/>
      <w:lvlJc w:val="left"/>
      <w:pPr>
        <w:ind w:left="229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DAF0F92"/>
    <w:multiLevelType w:val="hybridMultilevel"/>
    <w:tmpl w:val="2E12BE9A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6"/>
  </w:num>
  <w:num w:numId="6">
    <w:abstractNumId w:val="22"/>
  </w:num>
  <w:num w:numId="7">
    <w:abstractNumId w:val="26"/>
  </w:num>
  <w:num w:numId="8">
    <w:abstractNumId w:val="1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13"/>
  </w:num>
  <w:num w:numId="14">
    <w:abstractNumId w:val="8"/>
  </w:num>
  <w:num w:numId="15">
    <w:abstractNumId w:val="17"/>
  </w:num>
  <w:num w:numId="16">
    <w:abstractNumId w:val="15"/>
  </w:num>
  <w:num w:numId="17">
    <w:abstractNumId w:val="3"/>
  </w:num>
  <w:num w:numId="18">
    <w:abstractNumId w:val="0"/>
  </w:num>
  <w:num w:numId="19">
    <w:abstractNumId w:val="21"/>
  </w:num>
  <w:num w:numId="20">
    <w:abstractNumId w:val="4"/>
  </w:num>
  <w:num w:numId="21">
    <w:abstractNumId w:val="25"/>
  </w:num>
  <w:num w:numId="22">
    <w:abstractNumId w:val="20"/>
  </w:num>
  <w:num w:numId="23">
    <w:abstractNumId w:val="24"/>
  </w:num>
  <w:num w:numId="24">
    <w:abstractNumId w:val="19"/>
  </w:num>
  <w:num w:numId="25">
    <w:abstractNumId w:val="23"/>
  </w:num>
  <w:num w:numId="26">
    <w:abstractNumId w:val="18"/>
  </w:num>
  <w:num w:numId="27">
    <w:abstractNumId w:val="2"/>
  </w:num>
  <w:num w:numId="28">
    <w:abstractNumId w:val="10"/>
  </w:num>
  <w:num w:numId="29">
    <w:abstractNumId w:val="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99"/>
    <w:rsid w:val="00460EC8"/>
    <w:rsid w:val="004D44E0"/>
    <w:rsid w:val="0060702D"/>
    <w:rsid w:val="006926F4"/>
    <w:rsid w:val="00734A80"/>
    <w:rsid w:val="007D7999"/>
    <w:rsid w:val="008E791E"/>
    <w:rsid w:val="00A15B3A"/>
    <w:rsid w:val="00BD4201"/>
    <w:rsid w:val="00CF2E9A"/>
    <w:rsid w:val="00EA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45D2"/>
  <w15:docId w15:val="{46CE7E56-5333-4058-992E-9B2622F2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99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E9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D7999"/>
    <w:pPr>
      <w:ind w:left="720"/>
    </w:pPr>
  </w:style>
  <w:style w:type="paragraph" w:customStyle="1" w:styleId="ListParagraph1">
    <w:name w:val="List Paragraph1"/>
    <w:basedOn w:val="a"/>
    <w:uiPriority w:val="99"/>
    <w:rsid w:val="007D7999"/>
    <w:pPr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7D79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Абзац списка3"/>
    <w:basedOn w:val="a"/>
    <w:uiPriority w:val="99"/>
    <w:rsid w:val="007D7999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customStyle="1" w:styleId="NoSpacing11">
    <w:name w:val="No Spacing11"/>
    <w:uiPriority w:val="99"/>
    <w:rsid w:val="007D79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Абзац списка4"/>
    <w:basedOn w:val="a"/>
    <w:uiPriority w:val="99"/>
    <w:rsid w:val="007D7999"/>
    <w:pPr>
      <w:ind w:left="720"/>
    </w:pPr>
    <w:rPr>
      <w:rFonts w:ascii="Calibri" w:eastAsia="Times New Roman" w:hAnsi="Calibri" w:cs="Calibri"/>
    </w:rPr>
  </w:style>
  <w:style w:type="paragraph" w:styleId="a5">
    <w:name w:val="Normal (Web)"/>
    <w:basedOn w:val="a"/>
    <w:uiPriority w:val="99"/>
    <w:unhideWhenUsed/>
    <w:rsid w:val="007D799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styleId="a6">
    <w:name w:val="Table Grid"/>
    <w:basedOn w:val="a1"/>
    <w:uiPriority w:val="39"/>
    <w:rsid w:val="007D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rsid w:val="007D79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7D7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AЗнак сноски зел"/>
    <w:uiPriority w:val="99"/>
    <w:rsid w:val="007D7999"/>
    <w:rPr>
      <w:vertAlign w:val="superscript"/>
    </w:rPr>
  </w:style>
  <w:style w:type="character" w:styleId="aa">
    <w:name w:val="Hyperlink"/>
    <w:uiPriority w:val="99"/>
    <w:rsid w:val="007D7999"/>
    <w:rPr>
      <w:color w:val="0000FF"/>
      <w:u w:val="single"/>
    </w:rPr>
  </w:style>
  <w:style w:type="paragraph" w:customStyle="1" w:styleId="Default">
    <w:name w:val="Default"/>
    <w:rsid w:val="007D79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Абзац списка1"/>
    <w:basedOn w:val="a"/>
    <w:rsid w:val="007D7999"/>
    <w:pPr>
      <w:ind w:left="720"/>
    </w:pPr>
    <w:rPr>
      <w:rFonts w:eastAsia="Times New Roman"/>
    </w:rPr>
  </w:style>
  <w:style w:type="paragraph" w:styleId="ab">
    <w:name w:val="Document Map"/>
    <w:basedOn w:val="a"/>
    <w:link w:val="ac"/>
    <w:uiPriority w:val="99"/>
    <w:semiHidden/>
    <w:unhideWhenUsed/>
    <w:rsid w:val="007D7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D7999"/>
    <w:rPr>
      <w:rFonts w:ascii="Tahoma" w:eastAsia="Calibri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D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7999"/>
    <w:rPr>
      <w:rFonts w:ascii="Times New Roman" w:eastAsia="Calibri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7D7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7999"/>
    <w:rPr>
      <w:rFonts w:ascii="Times New Roman" w:eastAsia="Calibri" w:hAnsi="Times New Roman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7D79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D79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D7999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D79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D7999"/>
    <w:rPr>
      <w:rFonts w:ascii="Times New Roman" w:eastAsia="Calibri" w:hAnsi="Times New Roman"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7D7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7D79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Администратор</cp:lastModifiedBy>
  <cp:revision>2</cp:revision>
  <dcterms:created xsi:type="dcterms:W3CDTF">2023-07-28T08:56:00Z</dcterms:created>
  <dcterms:modified xsi:type="dcterms:W3CDTF">2023-07-28T08:56:00Z</dcterms:modified>
</cp:coreProperties>
</file>